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5547E" w:rsidRPr="009E51FC" w:rsidRDefault="00D5547E" w:rsidP="2589F76D">
      <w:pPr>
        <w:rPr>
          <w:color w:val="000000" w:themeColor="text1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79212A53" w14:textId="77777777" w:rsidTr="0B00413E">
        <w:tc>
          <w:tcPr>
            <w:tcW w:w="2438" w:type="dxa"/>
            <w:shd w:val="clear" w:color="auto" w:fill="auto"/>
          </w:tcPr>
          <w:p w14:paraId="083A94F9" w14:textId="77777777" w:rsidR="00F445B1" w:rsidRPr="00975B07" w:rsidRDefault="4632A274" w:rsidP="2589F76D">
            <w:pPr>
              <w:rPr>
                <w:rStyle w:val="Firstpagetablebold"/>
                <w:color w:val="000000" w:themeColor="text1"/>
              </w:rPr>
            </w:pPr>
            <w:r w:rsidRPr="2589F76D">
              <w:rPr>
                <w:rStyle w:val="Firstpagetablebold"/>
                <w:color w:val="000000" w:themeColor="text1"/>
              </w:rPr>
              <w:t>To</w:t>
            </w:r>
            <w:r w:rsidR="4C8F0932" w:rsidRPr="2589F76D">
              <w:rPr>
                <w:rStyle w:val="Firstpagetablebold"/>
                <w:color w:val="000000" w:themeColor="text1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3EE8B80F" w14:textId="2E1F70E6" w:rsidR="00F445B1" w:rsidRPr="00F95BC9" w:rsidRDefault="42593780" w:rsidP="2589F76D">
            <w:pPr>
              <w:rPr>
                <w:rStyle w:val="Firstpagetablebold"/>
                <w:color w:val="000000" w:themeColor="text1"/>
              </w:rPr>
            </w:pPr>
            <w:r w:rsidRPr="2589F76D">
              <w:rPr>
                <w:rStyle w:val="Firstpagetablebold"/>
                <w:color w:val="000000" w:themeColor="text1"/>
              </w:rPr>
              <w:t>A</w:t>
            </w:r>
            <w:r w:rsidR="00FC0623">
              <w:rPr>
                <w:rStyle w:val="Firstpagetablebold"/>
                <w:color w:val="000000" w:themeColor="text1"/>
              </w:rPr>
              <w:t xml:space="preserve">udit </w:t>
            </w:r>
            <w:r w:rsidRPr="2589F76D">
              <w:rPr>
                <w:rStyle w:val="Firstpagetablebold"/>
                <w:color w:val="000000" w:themeColor="text1"/>
              </w:rPr>
              <w:t>&amp;</w:t>
            </w:r>
            <w:r w:rsidR="00BB33A5">
              <w:rPr>
                <w:rStyle w:val="Firstpagetablebold"/>
                <w:color w:val="000000" w:themeColor="text1"/>
              </w:rPr>
              <w:t xml:space="preserve"> </w:t>
            </w:r>
            <w:r w:rsidRPr="2589F76D">
              <w:rPr>
                <w:rStyle w:val="Firstpagetablebold"/>
                <w:color w:val="000000" w:themeColor="text1"/>
              </w:rPr>
              <w:t>G</w:t>
            </w:r>
            <w:r w:rsidR="00FC0623">
              <w:rPr>
                <w:rStyle w:val="Firstpagetablebold"/>
                <w:color w:val="000000" w:themeColor="text1"/>
              </w:rPr>
              <w:t>overnance</w:t>
            </w:r>
            <w:r w:rsidR="00821AAF" w:rsidRPr="2589F76D">
              <w:rPr>
                <w:rStyle w:val="Firstpagetablebold"/>
                <w:color w:val="000000" w:themeColor="text1"/>
              </w:rPr>
              <w:t xml:space="preserve"> Committee</w:t>
            </w:r>
          </w:p>
        </w:tc>
      </w:tr>
      <w:tr w:rsidR="00CE544A" w:rsidRPr="00975B07" w14:paraId="0E179216" w14:textId="77777777" w:rsidTr="0B00413E">
        <w:tc>
          <w:tcPr>
            <w:tcW w:w="2438" w:type="dxa"/>
            <w:shd w:val="clear" w:color="auto" w:fill="auto"/>
          </w:tcPr>
          <w:p w14:paraId="3101716D" w14:textId="77777777" w:rsidR="00F445B1" w:rsidRPr="00975B07" w:rsidRDefault="4632A274" w:rsidP="2589F76D">
            <w:pPr>
              <w:rPr>
                <w:rStyle w:val="Firstpagetablebold"/>
                <w:color w:val="000000" w:themeColor="text1"/>
              </w:rPr>
            </w:pPr>
            <w:r w:rsidRPr="2589F76D">
              <w:rPr>
                <w:rStyle w:val="Firstpagetablebold"/>
                <w:color w:val="000000" w:themeColor="text1"/>
              </w:rPr>
              <w:t>Dat</w:t>
            </w:r>
            <w:r w:rsidR="4C8F0932" w:rsidRPr="2589F76D">
              <w:rPr>
                <w:rStyle w:val="Firstpagetablebold"/>
                <w:color w:val="000000" w:themeColor="text1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0A6E93EC" w14:textId="2106C71E" w:rsidR="00F445B1" w:rsidRPr="001356F1" w:rsidRDefault="78C5101D" w:rsidP="2589F76D">
            <w:pPr>
              <w:spacing w:line="259" w:lineRule="auto"/>
            </w:pPr>
            <w:r w:rsidRPr="2589F76D">
              <w:rPr>
                <w:rStyle w:val="Firstpagetablebold"/>
                <w:color w:val="000000" w:themeColor="text1"/>
              </w:rPr>
              <w:t>8</w:t>
            </w:r>
            <w:r w:rsidRPr="2589F76D">
              <w:rPr>
                <w:rStyle w:val="Firstpagetablebold"/>
                <w:color w:val="000000" w:themeColor="text1"/>
                <w:vertAlign w:val="superscript"/>
              </w:rPr>
              <w:t>th</w:t>
            </w:r>
            <w:r w:rsidRPr="2589F76D">
              <w:rPr>
                <w:rStyle w:val="Firstpagetablebold"/>
                <w:color w:val="000000" w:themeColor="text1"/>
              </w:rPr>
              <w:t xml:space="preserve"> April 2024</w:t>
            </w:r>
          </w:p>
        </w:tc>
      </w:tr>
      <w:tr w:rsidR="00CE544A" w:rsidRPr="00975B07" w14:paraId="04BBF60F" w14:textId="77777777" w:rsidTr="0B00413E">
        <w:tc>
          <w:tcPr>
            <w:tcW w:w="2438" w:type="dxa"/>
            <w:shd w:val="clear" w:color="auto" w:fill="auto"/>
          </w:tcPr>
          <w:p w14:paraId="7D368FDE" w14:textId="77777777" w:rsidR="00F445B1" w:rsidRPr="00975B07" w:rsidRDefault="4632A274" w:rsidP="2589F76D">
            <w:pPr>
              <w:rPr>
                <w:rStyle w:val="Firstpagetablebold"/>
                <w:color w:val="000000" w:themeColor="text1"/>
              </w:rPr>
            </w:pPr>
            <w:r w:rsidRPr="2589F76D">
              <w:rPr>
                <w:rStyle w:val="Firstpagetablebold"/>
                <w:color w:val="000000" w:themeColor="text1"/>
              </w:rPr>
              <w:t>Report of</w:t>
            </w:r>
            <w:r w:rsidR="4C8F0932" w:rsidRPr="2589F76D">
              <w:rPr>
                <w:rStyle w:val="Firstpagetablebold"/>
                <w:color w:val="000000" w:themeColor="text1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6397B32C" w14:textId="15B0A56D" w:rsidR="00F445B1" w:rsidRPr="001356F1" w:rsidRDefault="3C91A451" w:rsidP="2589F76D">
            <w:pPr>
              <w:spacing w:line="259" w:lineRule="auto"/>
            </w:pPr>
            <w:r w:rsidRPr="2589F76D">
              <w:rPr>
                <w:rStyle w:val="Firstpagetablebold"/>
                <w:color w:val="000000" w:themeColor="text1"/>
              </w:rPr>
              <w:t>Head of Planning and Regulatory Services, David Butler</w:t>
            </w:r>
          </w:p>
        </w:tc>
      </w:tr>
      <w:tr w:rsidR="00CE544A" w:rsidRPr="00975B07" w14:paraId="2CD13EC1" w14:textId="77777777" w:rsidTr="0B00413E">
        <w:tc>
          <w:tcPr>
            <w:tcW w:w="2438" w:type="dxa"/>
            <w:shd w:val="clear" w:color="auto" w:fill="auto"/>
          </w:tcPr>
          <w:p w14:paraId="65867D8D" w14:textId="77777777" w:rsidR="00F445B1" w:rsidRPr="00975B07" w:rsidRDefault="4632A274" w:rsidP="2589F76D">
            <w:pPr>
              <w:rPr>
                <w:rStyle w:val="Firstpagetablebold"/>
                <w:color w:val="000000" w:themeColor="text1"/>
              </w:rPr>
            </w:pPr>
            <w:r w:rsidRPr="2589F76D">
              <w:rPr>
                <w:rStyle w:val="Firstpagetablebold"/>
                <w:color w:val="000000" w:themeColor="text1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426FB2F3" w14:textId="440AA7DB" w:rsidR="00F445B1" w:rsidRPr="001356F1" w:rsidRDefault="6CF83643" w:rsidP="00E75A7F">
            <w:pPr>
              <w:spacing w:line="259" w:lineRule="auto"/>
              <w:rPr>
                <w:rStyle w:val="Firstpagetablebold"/>
                <w:color w:val="000000" w:themeColor="text1"/>
              </w:rPr>
            </w:pPr>
            <w:r w:rsidRPr="0B00413E">
              <w:rPr>
                <w:rStyle w:val="Firstpagetablebold"/>
                <w:color w:val="000000" w:themeColor="text1"/>
              </w:rPr>
              <w:t>C</w:t>
            </w:r>
            <w:r w:rsidR="7DFA0908" w:rsidRPr="0B00413E">
              <w:rPr>
                <w:rStyle w:val="Firstpagetablebold"/>
                <w:color w:val="000000" w:themeColor="text1"/>
              </w:rPr>
              <w:t xml:space="preserve">ommunity </w:t>
            </w:r>
            <w:r w:rsidR="543DE8BA" w:rsidRPr="0B00413E">
              <w:rPr>
                <w:rStyle w:val="Firstpagetablebold"/>
                <w:color w:val="000000" w:themeColor="text1"/>
              </w:rPr>
              <w:t>Infrastructure</w:t>
            </w:r>
            <w:r w:rsidR="78912BE0" w:rsidRPr="0B00413E">
              <w:rPr>
                <w:rStyle w:val="Firstpagetablebold"/>
                <w:color w:val="000000" w:themeColor="text1"/>
              </w:rPr>
              <w:t xml:space="preserve"> </w:t>
            </w:r>
            <w:r w:rsidRPr="0B00413E">
              <w:rPr>
                <w:rStyle w:val="Firstpagetablebold"/>
                <w:color w:val="000000" w:themeColor="text1"/>
              </w:rPr>
              <w:t>L</w:t>
            </w:r>
            <w:r w:rsidR="5BD51385" w:rsidRPr="0B00413E">
              <w:rPr>
                <w:rStyle w:val="Firstpagetablebold"/>
                <w:color w:val="000000" w:themeColor="text1"/>
              </w:rPr>
              <w:t>evy (CIL)</w:t>
            </w:r>
            <w:r w:rsidRPr="0B00413E">
              <w:rPr>
                <w:rStyle w:val="Firstpagetablebold"/>
                <w:color w:val="000000" w:themeColor="text1"/>
              </w:rPr>
              <w:t xml:space="preserve"> and S</w:t>
            </w:r>
            <w:r w:rsidR="69834C90" w:rsidRPr="0B00413E">
              <w:rPr>
                <w:rStyle w:val="Firstpagetablebold"/>
                <w:color w:val="000000" w:themeColor="text1"/>
              </w:rPr>
              <w:t>ection</w:t>
            </w:r>
            <w:r w:rsidR="00FC0623">
              <w:rPr>
                <w:rStyle w:val="Firstpagetablebold"/>
                <w:color w:val="000000" w:themeColor="text1"/>
              </w:rPr>
              <w:t xml:space="preserve"> </w:t>
            </w:r>
            <w:r w:rsidRPr="0B00413E">
              <w:rPr>
                <w:rStyle w:val="Firstpagetablebold"/>
                <w:color w:val="000000" w:themeColor="text1"/>
              </w:rPr>
              <w:t xml:space="preserve">106 </w:t>
            </w:r>
            <w:r w:rsidR="00E75A7F">
              <w:rPr>
                <w:rStyle w:val="Firstpagetablebold"/>
                <w:color w:val="000000" w:themeColor="text1"/>
              </w:rPr>
              <w:t>financial contributions</w:t>
            </w:r>
          </w:p>
        </w:tc>
      </w:tr>
    </w:tbl>
    <w:p w14:paraId="0A37501D" w14:textId="77777777" w:rsidR="004F20EF" w:rsidRDefault="004F20EF" w:rsidP="2589F76D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14:paraId="52694351" w14:textId="77777777" w:rsidTr="2589F76D">
        <w:tc>
          <w:tcPr>
            <w:tcW w:w="8845" w:type="dxa"/>
            <w:gridSpan w:val="3"/>
            <w:tcBorders>
              <w:bottom w:val="single" w:sz="8" w:space="0" w:color="000000" w:themeColor="text1"/>
            </w:tcBorders>
            <w:hideMark/>
          </w:tcPr>
          <w:p w14:paraId="743A6AB8" w14:textId="77777777" w:rsidR="00D5547E" w:rsidRDefault="3D844C24" w:rsidP="2589F76D">
            <w:pPr>
              <w:jc w:val="center"/>
              <w:rPr>
                <w:rStyle w:val="Firstpagetablebold"/>
                <w:color w:val="000000" w:themeColor="text1"/>
              </w:rPr>
            </w:pPr>
            <w:r w:rsidRPr="2589F76D">
              <w:rPr>
                <w:rStyle w:val="Firstpagetablebold"/>
                <w:color w:val="000000" w:themeColor="text1"/>
              </w:rPr>
              <w:t>Summary and r</w:t>
            </w:r>
            <w:r w:rsidR="21ABAA19" w:rsidRPr="2589F76D">
              <w:rPr>
                <w:rStyle w:val="Firstpagetablebold"/>
                <w:color w:val="000000" w:themeColor="text1"/>
              </w:rPr>
              <w:t>ecommendations</w:t>
            </w:r>
          </w:p>
        </w:tc>
      </w:tr>
      <w:tr w:rsidR="00D5547E" w14:paraId="2BE798C9" w14:textId="77777777" w:rsidTr="2589F76D">
        <w:tc>
          <w:tcPr>
            <w:tcW w:w="243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hideMark/>
          </w:tcPr>
          <w:p w14:paraId="6BEDB967" w14:textId="77777777" w:rsidR="00D5547E" w:rsidRDefault="21ABAA19" w:rsidP="2589F76D">
            <w:pPr>
              <w:rPr>
                <w:rStyle w:val="Firstpagetablebold"/>
                <w:color w:val="000000" w:themeColor="text1"/>
              </w:rPr>
            </w:pPr>
            <w:r w:rsidRPr="2589F76D">
              <w:rPr>
                <w:rStyle w:val="Firstpagetablebold"/>
                <w:color w:val="000000" w:themeColor="text1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hideMark/>
          </w:tcPr>
          <w:p w14:paraId="28CB9320" w14:textId="6419962B" w:rsidR="00D5547E" w:rsidRPr="001356F1" w:rsidRDefault="735ECCA7" w:rsidP="2589F76D">
            <w:pPr>
              <w:spacing w:line="259" w:lineRule="auto"/>
            </w:pPr>
            <w:r w:rsidRPr="2589F76D">
              <w:rPr>
                <w:color w:val="000000" w:themeColor="text1"/>
              </w:rPr>
              <w:t>To explain the CIL and S</w:t>
            </w:r>
            <w:r w:rsidR="00FC0623">
              <w:rPr>
                <w:color w:val="000000" w:themeColor="text1"/>
              </w:rPr>
              <w:t>ection</w:t>
            </w:r>
            <w:r w:rsidRPr="2589F76D">
              <w:rPr>
                <w:color w:val="000000" w:themeColor="text1"/>
              </w:rPr>
              <w:t xml:space="preserve">106 </w:t>
            </w:r>
            <w:r w:rsidR="00FC0623">
              <w:rPr>
                <w:color w:val="000000" w:themeColor="text1"/>
              </w:rPr>
              <w:t xml:space="preserve">agreement </w:t>
            </w:r>
            <w:r w:rsidRPr="2589F76D">
              <w:rPr>
                <w:color w:val="000000" w:themeColor="text1"/>
              </w:rPr>
              <w:t>process</w:t>
            </w:r>
            <w:r w:rsidR="00FC0623">
              <w:rPr>
                <w:color w:val="000000" w:themeColor="text1"/>
              </w:rPr>
              <w:t>es</w:t>
            </w:r>
          </w:p>
        </w:tc>
      </w:tr>
      <w:tr w:rsidR="00D5547E" w14:paraId="44B3A36B" w14:textId="77777777" w:rsidTr="2589F76D">
        <w:tc>
          <w:tcPr>
            <w:tcW w:w="2438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14:paraId="3BAB0F11" w14:textId="77777777" w:rsidR="00D5547E" w:rsidRDefault="21ABAA19" w:rsidP="2589F76D">
            <w:pPr>
              <w:rPr>
                <w:rStyle w:val="Firstpagetablebold"/>
                <w:color w:val="000000" w:themeColor="text1"/>
              </w:rPr>
            </w:pPr>
            <w:r w:rsidRPr="2589F76D">
              <w:rPr>
                <w:rStyle w:val="Firstpagetablebold"/>
                <w:color w:val="000000" w:themeColor="text1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14:paraId="690A3058" w14:textId="17ED8C5D" w:rsidR="00D5547E" w:rsidRPr="001356F1" w:rsidRDefault="21ABAA19" w:rsidP="2589F76D">
            <w:pPr>
              <w:rPr>
                <w:color w:val="000000" w:themeColor="text1"/>
              </w:rPr>
            </w:pPr>
            <w:r w:rsidRPr="2589F76D">
              <w:rPr>
                <w:color w:val="000000" w:themeColor="text1"/>
              </w:rPr>
              <w:t>No</w:t>
            </w:r>
          </w:p>
        </w:tc>
      </w:tr>
      <w:tr w:rsidR="00D5547E" w14:paraId="3C8F6897" w14:textId="77777777" w:rsidTr="2589F76D">
        <w:tc>
          <w:tcPr>
            <w:tcW w:w="2438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14:paraId="37D3EE48" w14:textId="77777777" w:rsidR="00D5547E" w:rsidRDefault="5B30BC0E" w:rsidP="2589F76D">
            <w:pPr>
              <w:rPr>
                <w:rStyle w:val="Firstpagetablebold"/>
                <w:color w:val="000000" w:themeColor="text1"/>
              </w:rPr>
            </w:pPr>
            <w:r w:rsidRPr="2589F76D">
              <w:rPr>
                <w:rStyle w:val="Firstpagetablebold"/>
                <w:color w:val="000000" w:themeColor="text1"/>
              </w:rPr>
              <w:t>Cabinet</w:t>
            </w:r>
            <w:r w:rsidR="21ABAA19" w:rsidRPr="2589F76D">
              <w:rPr>
                <w:rStyle w:val="Firstpagetablebold"/>
                <w:color w:val="000000" w:themeColor="text1"/>
              </w:rPr>
              <w:t xml:space="preserve"> Member</w:t>
            </w:r>
            <w:r w:rsidR="00A44635" w:rsidRPr="2589F76D">
              <w:rPr>
                <w:rStyle w:val="Firstpagetablebold"/>
                <w:color w:val="000000" w:themeColor="text1"/>
              </w:rPr>
              <w:t xml:space="preserve"> with responsibility</w:t>
            </w:r>
            <w:r w:rsidR="21ABAA19" w:rsidRPr="2589F76D">
              <w:rPr>
                <w:rStyle w:val="Firstpagetablebold"/>
                <w:color w:val="000000" w:themeColor="text1"/>
              </w:rPr>
              <w:t>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14:paraId="7246BC25" w14:textId="0C223548" w:rsidR="00D5547E" w:rsidRPr="001356F1" w:rsidRDefault="21ABAA19" w:rsidP="2589F76D">
            <w:pPr>
              <w:spacing w:line="259" w:lineRule="auto"/>
              <w:rPr>
                <w:color w:val="000000" w:themeColor="text1"/>
              </w:rPr>
            </w:pPr>
            <w:r w:rsidRPr="2589F76D">
              <w:rPr>
                <w:color w:val="000000" w:themeColor="text1"/>
              </w:rPr>
              <w:t xml:space="preserve">Councillor </w:t>
            </w:r>
            <w:r w:rsidR="7AC00BEE" w:rsidRPr="2589F76D">
              <w:rPr>
                <w:color w:val="000000" w:themeColor="text1"/>
              </w:rPr>
              <w:t>Louise Upton - Cabinet Member for Planning and Healthier Communities</w:t>
            </w:r>
          </w:p>
        </w:tc>
      </w:tr>
      <w:tr w:rsidR="0080749A" w14:paraId="565CE491" w14:textId="77777777" w:rsidTr="2589F76D">
        <w:tc>
          <w:tcPr>
            <w:tcW w:w="2438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1023AC0E" w14:textId="77777777" w:rsidR="0080749A" w:rsidRDefault="021A4D2E" w:rsidP="2589F76D">
            <w:pPr>
              <w:rPr>
                <w:rStyle w:val="Firstpagetablebold"/>
                <w:color w:val="000000" w:themeColor="text1"/>
              </w:rPr>
            </w:pPr>
            <w:r w:rsidRPr="2589F76D">
              <w:rPr>
                <w:rStyle w:val="Firstpagetablebold"/>
                <w:color w:val="000000" w:themeColor="text1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2145EE1D" w14:textId="5C175CA2" w:rsidR="0080749A" w:rsidRPr="001356F1" w:rsidRDefault="19A5CABA" w:rsidP="2589F76D">
            <w:pPr>
              <w:spacing w:after="0" w:line="257" w:lineRule="auto"/>
              <w:rPr>
                <w:rFonts w:eastAsia="Arial" w:cs="Arial"/>
                <w:color w:val="000000" w:themeColor="text1"/>
              </w:rPr>
            </w:pPr>
            <w:r w:rsidRPr="2589F76D">
              <w:rPr>
                <w:rFonts w:eastAsia="Arial" w:cs="Arial"/>
                <w:color w:val="000000" w:themeColor="text1"/>
                <w:lang w:val="en-US"/>
              </w:rPr>
              <w:t xml:space="preserve">Enable an inclusive </w:t>
            </w:r>
            <w:proofErr w:type="gramStart"/>
            <w:r w:rsidRPr="2589F76D">
              <w:rPr>
                <w:rFonts w:eastAsia="Arial" w:cs="Arial"/>
                <w:color w:val="000000" w:themeColor="text1"/>
                <w:lang w:val="en-US"/>
              </w:rPr>
              <w:t>economy</w:t>
            </w:r>
            <w:proofErr w:type="gramEnd"/>
          </w:p>
          <w:p w14:paraId="5C0F66AE" w14:textId="5CC6C0C7" w:rsidR="0080749A" w:rsidRPr="001356F1" w:rsidRDefault="19A5CABA" w:rsidP="2589F76D">
            <w:pPr>
              <w:spacing w:after="0" w:line="257" w:lineRule="auto"/>
              <w:rPr>
                <w:rFonts w:eastAsia="Arial" w:cs="Arial"/>
                <w:color w:val="000000" w:themeColor="text1"/>
              </w:rPr>
            </w:pPr>
            <w:r w:rsidRPr="2589F76D">
              <w:rPr>
                <w:rFonts w:eastAsia="Arial" w:cs="Arial"/>
                <w:color w:val="000000" w:themeColor="text1"/>
                <w:lang w:val="en-US"/>
              </w:rPr>
              <w:t xml:space="preserve">Deliver more affordable </w:t>
            </w:r>
            <w:proofErr w:type="gramStart"/>
            <w:r w:rsidRPr="2589F76D">
              <w:rPr>
                <w:rFonts w:eastAsia="Arial" w:cs="Arial"/>
                <w:color w:val="000000" w:themeColor="text1"/>
                <w:lang w:val="en-US"/>
              </w:rPr>
              <w:t>housing</w:t>
            </w:r>
            <w:proofErr w:type="gramEnd"/>
          </w:p>
          <w:p w14:paraId="7BF72285" w14:textId="11B4A341" w:rsidR="0080749A" w:rsidRPr="001356F1" w:rsidRDefault="19A5CABA" w:rsidP="2589F76D">
            <w:pPr>
              <w:spacing w:after="0" w:line="257" w:lineRule="auto"/>
              <w:rPr>
                <w:rFonts w:eastAsia="Arial" w:cs="Arial"/>
                <w:color w:val="000000" w:themeColor="text1"/>
              </w:rPr>
            </w:pPr>
            <w:r w:rsidRPr="2589F76D">
              <w:rPr>
                <w:rFonts w:eastAsia="Arial" w:cs="Arial"/>
                <w:color w:val="000000" w:themeColor="text1"/>
                <w:lang w:val="en-US"/>
              </w:rPr>
              <w:t xml:space="preserve">Support thriving </w:t>
            </w:r>
            <w:proofErr w:type="gramStart"/>
            <w:r w:rsidRPr="2589F76D">
              <w:rPr>
                <w:rFonts w:eastAsia="Arial" w:cs="Arial"/>
                <w:color w:val="000000" w:themeColor="text1"/>
                <w:lang w:val="en-US"/>
              </w:rPr>
              <w:t>communities</w:t>
            </w:r>
            <w:proofErr w:type="gramEnd"/>
          </w:p>
          <w:p w14:paraId="16F90711" w14:textId="0E2C0486" w:rsidR="0080749A" w:rsidRPr="001356F1" w:rsidRDefault="19A5CABA" w:rsidP="2589F76D">
            <w:pPr>
              <w:spacing w:after="0" w:line="257" w:lineRule="auto"/>
              <w:rPr>
                <w:rFonts w:eastAsia="Arial" w:cs="Arial"/>
                <w:color w:val="000000" w:themeColor="text1"/>
              </w:rPr>
            </w:pPr>
            <w:r w:rsidRPr="2589F76D">
              <w:rPr>
                <w:rFonts w:eastAsia="Arial" w:cs="Arial"/>
                <w:color w:val="000000" w:themeColor="text1"/>
                <w:lang w:val="en-US"/>
              </w:rPr>
              <w:t>Pursue a zero carbon Oxford</w:t>
            </w:r>
          </w:p>
        </w:tc>
      </w:tr>
      <w:tr w:rsidR="00D5547E" w14:paraId="7283D486" w14:textId="77777777" w:rsidTr="2589F76D">
        <w:tc>
          <w:tcPr>
            <w:tcW w:w="2438" w:type="dxa"/>
            <w:gridSpan w:val="2"/>
            <w:tcBorders>
              <w:top w:val="nil"/>
              <w:left w:val="single" w:sz="8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14:paraId="355763C8" w14:textId="77777777" w:rsidR="00D5547E" w:rsidRDefault="21ABAA19" w:rsidP="2589F76D">
            <w:pPr>
              <w:rPr>
                <w:rStyle w:val="Firstpagetablebold"/>
                <w:color w:val="000000" w:themeColor="text1"/>
              </w:rPr>
            </w:pPr>
            <w:r w:rsidRPr="2589F76D">
              <w:rPr>
                <w:rStyle w:val="Firstpagetablebold"/>
                <w:color w:val="000000" w:themeColor="text1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000000" w:themeColor="text1"/>
            </w:tcBorders>
            <w:hideMark/>
          </w:tcPr>
          <w:p w14:paraId="062C0B4C" w14:textId="3596652D" w:rsidR="00D5547E" w:rsidRPr="001356F1" w:rsidRDefault="00E75A7F" w:rsidP="2589F7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None</w:t>
            </w:r>
          </w:p>
        </w:tc>
      </w:tr>
      <w:tr w:rsidR="005F7F7E" w:rsidRPr="00975B07" w14:paraId="24565A13" w14:textId="77777777" w:rsidTr="2589F76D">
        <w:trPr>
          <w:trHeight w:val="413"/>
        </w:trPr>
        <w:tc>
          <w:tcPr>
            <w:tcW w:w="884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1127B0DA" w14:textId="267E12CB" w:rsidR="005F7F7E" w:rsidRPr="00975B07" w:rsidRDefault="6178D70A" w:rsidP="2589F76D">
            <w:pPr>
              <w:rPr>
                <w:rStyle w:val="Firstpagetablebold"/>
                <w:color w:val="000000" w:themeColor="text1"/>
              </w:rPr>
            </w:pPr>
            <w:r w:rsidRPr="2589F76D">
              <w:rPr>
                <w:rStyle w:val="Firstpagetablebold"/>
                <w:color w:val="000000" w:themeColor="text1"/>
              </w:rPr>
              <w:t>Recommendation(s):</w:t>
            </w:r>
            <w:r w:rsidR="14C59CA3" w:rsidRPr="2589F76D">
              <w:rPr>
                <w:rStyle w:val="Firstpagetablebold"/>
                <w:color w:val="000000" w:themeColor="text1"/>
              </w:rPr>
              <w:t xml:space="preserve"> </w:t>
            </w:r>
            <w:r w:rsidRPr="2589F76D">
              <w:rPr>
                <w:rStyle w:val="Firstpagetablebold"/>
                <w:color w:val="000000" w:themeColor="text1"/>
              </w:rPr>
              <w:t xml:space="preserve">That the </w:t>
            </w:r>
            <w:r w:rsidR="00821AAF" w:rsidRPr="2589F76D">
              <w:rPr>
                <w:rStyle w:val="Firstpagetablebold"/>
                <w:color w:val="000000" w:themeColor="text1"/>
              </w:rPr>
              <w:t>Committee</w:t>
            </w:r>
            <w:r w:rsidRPr="2589F76D">
              <w:rPr>
                <w:rStyle w:val="Firstpagetablebold"/>
                <w:color w:val="000000" w:themeColor="text1"/>
              </w:rPr>
              <w:t xml:space="preserve"> resolves to:</w:t>
            </w:r>
          </w:p>
        </w:tc>
      </w:tr>
      <w:tr w:rsidR="0030208D" w:rsidRPr="00975B07" w14:paraId="1B78F02E" w14:textId="77777777" w:rsidTr="2589F76D">
        <w:trPr>
          <w:trHeight w:val="283"/>
        </w:trPr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0135CBF0" w14:textId="77777777" w:rsidR="0030208D" w:rsidRPr="00975B07" w:rsidRDefault="3FA2B120" w:rsidP="2589F76D">
            <w:pPr>
              <w:rPr>
                <w:color w:val="000000" w:themeColor="text1"/>
              </w:rPr>
            </w:pPr>
            <w:r w:rsidRPr="2589F76D">
              <w:rPr>
                <w:color w:val="000000" w:themeColor="text1"/>
              </w:rPr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806540E" w14:textId="7CDC3707" w:rsidR="0030208D" w:rsidRPr="001356F1" w:rsidRDefault="6F64FFC2" w:rsidP="00BB33A5">
            <w:pPr>
              <w:spacing w:line="259" w:lineRule="auto"/>
              <w:rPr>
                <w:rStyle w:val="Firstpagetablebold"/>
                <w:b w:val="0"/>
                <w:color w:val="000000" w:themeColor="text1"/>
              </w:rPr>
            </w:pPr>
            <w:r w:rsidRPr="2589F76D">
              <w:rPr>
                <w:rStyle w:val="Firstpagetablebold"/>
                <w:b w:val="0"/>
                <w:color w:val="000000" w:themeColor="text1"/>
              </w:rPr>
              <w:t xml:space="preserve">Acknowledge </w:t>
            </w:r>
            <w:r w:rsidR="02DBA40A" w:rsidRPr="2589F76D">
              <w:rPr>
                <w:rStyle w:val="Firstpagetablebold"/>
                <w:b w:val="0"/>
                <w:color w:val="000000" w:themeColor="text1"/>
              </w:rPr>
              <w:t xml:space="preserve">and </w:t>
            </w:r>
            <w:r w:rsidR="00BB33A5">
              <w:rPr>
                <w:rStyle w:val="Firstpagetablebold"/>
                <w:b w:val="0"/>
                <w:color w:val="000000" w:themeColor="text1"/>
              </w:rPr>
              <w:t xml:space="preserve">note </w:t>
            </w:r>
            <w:r w:rsidRPr="2589F76D">
              <w:rPr>
                <w:rStyle w:val="Firstpagetablebold"/>
                <w:b w:val="0"/>
                <w:color w:val="000000" w:themeColor="text1"/>
              </w:rPr>
              <w:t>the CIL and S106 processes</w:t>
            </w:r>
          </w:p>
        </w:tc>
      </w:tr>
    </w:tbl>
    <w:p w14:paraId="5DAB6C7B" w14:textId="77777777" w:rsidR="00CE544A" w:rsidRPr="009E51FC" w:rsidRDefault="00CE544A" w:rsidP="2589F76D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14:paraId="415A6A99" w14:textId="77777777" w:rsidTr="7C1ABDE0">
        <w:tc>
          <w:tcPr>
            <w:tcW w:w="8844" w:type="dxa"/>
            <w:gridSpan w:val="2"/>
            <w:shd w:val="clear" w:color="auto" w:fill="auto"/>
          </w:tcPr>
          <w:p w14:paraId="3DBF17A9" w14:textId="77777777" w:rsidR="00966D42" w:rsidRPr="00975B07" w:rsidRDefault="016A3C22" w:rsidP="2589F76D">
            <w:pPr>
              <w:jc w:val="center"/>
              <w:rPr>
                <w:rStyle w:val="Firstpagetablebold"/>
                <w:color w:val="000000" w:themeColor="text1"/>
              </w:rPr>
            </w:pPr>
            <w:r w:rsidRPr="2589F76D">
              <w:rPr>
                <w:rStyle w:val="Firstpagetablebold"/>
                <w:color w:val="000000" w:themeColor="text1"/>
              </w:rPr>
              <w:t>Appendices</w:t>
            </w:r>
          </w:p>
        </w:tc>
      </w:tr>
      <w:tr w:rsidR="00ED5860" w:rsidRPr="00975B07" w14:paraId="45B7EA6D" w14:textId="77777777" w:rsidTr="7C1ABDE0">
        <w:tc>
          <w:tcPr>
            <w:tcW w:w="2438" w:type="dxa"/>
            <w:shd w:val="clear" w:color="auto" w:fill="auto"/>
          </w:tcPr>
          <w:p w14:paraId="5A2DBBC6" w14:textId="10B4B790" w:rsidR="00ED5860" w:rsidRPr="00975B07" w:rsidRDefault="5FCE24DD" w:rsidP="7C1ABDE0">
            <w:pPr>
              <w:rPr>
                <w:color w:val="000000" w:themeColor="text1"/>
              </w:rPr>
            </w:pPr>
            <w:r w:rsidRPr="7C1ABDE0">
              <w:rPr>
                <w:color w:val="000000" w:themeColor="text1"/>
              </w:rPr>
              <w:t>Appendix 1</w:t>
            </w:r>
          </w:p>
        </w:tc>
        <w:tc>
          <w:tcPr>
            <w:tcW w:w="6406" w:type="dxa"/>
          </w:tcPr>
          <w:p w14:paraId="1EDB2526" w14:textId="3333AF90" w:rsidR="00ED5860" w:rsidRPr="001356F1" w:rsidRDefault="0F27E040" w:rsidP="2589F76D">
            <w:pPr>
              <w:spacing w:line="259" w:lineRule="auto"/>
              <w:rPr>
                <w:color w:val="000000" w:themeColor="text1"/>
              </w:rPr>
            </w:pPr>
            <w:r w:rsidRPr="7C1ABDE0">
              <w:rPr>
                <w:color w:val="000000" w:themeColor="text1"/>
              </w:rPr>
              <w:t>Infrastructure funding statement 2022-2023</w:t>
            </w:r>
          </w:p>
        </w:tc>
      </w:tr>
    </w:tbl>
    <w:p w14:paraId="261AC2A5" w14:textId="57F0E21B" w:rsidR="2589F76D" w:rsidRDefault="2589F76D" w:rsidP="2589F76D">
      <w:pPr>
        <w:pStyle w:val="Heading1"/>
        <w:rPr>
          <w:color w:val="000000" w:themeColor="text1"/>
        </w:rPr>
      </w:pPr>
    </w:p>
    <w:p w14:paraId="42B96A47" w14:textId="24AE9DE9" w:rsidR="2589F76D" w:rsidRDefault="2589F76D">
      <w:r>
        <w:br w:type="page"/>
      </w:r>
    </w:p>
    <w:p w14:paraId="1D425973" w14:textId="77777777" w:rsidR="0040736F" w:rsidRPr="001356F1" w:rsidRDefault="00F66DCA" w:rsidP="2589F76D">
      <w:pPr>
        <w:pStyle w:val="Heading1"/>
        <w:rPr>
          <w:color w:val="000000" w:themeColor="text1"/>
        </w:rPr>
      </w:pPr>
      <w:r w:rsidRPr="2589F76D">
        <w:rPr>
          <w:color w:val="000000" w:themeColor="text1"/>
        </w:rPr>
        <w:lastRenderedPageBreak/>
        <w:t>Introduction and b</w:t>
      </w:r>
      <w:r w:rsidR="00151888" w:rsidRPr="2589F76D">
        <w:rPr>
          <w:color w:val="000000" w:themeColor="text1"/>
        </w:rPr>
        <w:t>ackground</w:t>
      </w:r>
      <w:r w:rsidR="00404032" w:rsidRPr="2589F76D">
        <w:rPr>
          <w:color w:val="000000" w:themeColor="text1"/>
        </w:rPr>
        <w:t xml:space="preserve"> </w:t>
      </w:r>
    </w:p>
    <w:p w14:paraId="1C6F87E1" w14:textId="346DC1A9" w:rsidR="00E87F7A" w:rsidRPr="001356F1" w:rsidRDefault="00E87F7A" w:rsidP="2589F76D">
      <w:pPr>
        <w:pStyle w:val="ListParagraph"/>
        <w:rPr>
          <w:color w:val="000000" w:themeColor="text1"/>
        </w:rPr>
      </w:pPr>
      <w:r w:rsidRPr="0B00413E">
        <w:rPr>
          <w:color w:val="000000" w:themeColor="text1"/>
        </w:rPr>
        <w:t>This</w:t>
      </w:r>
      <w:r w:rsidR="48ED1E8E" w:rsidRPr="0B00413E">
        <w:rPr>
          <w:color w:val="000000" w:themeColor="text1"/>
        </w:rPr>
        <w:t xml:space="preserve"> paper summarises the </w:t>
      </w:r>
      <w:r w:rsidR="12BD31F2" w:rsidRPr="0B00413E">
        <w:rPr>
          <w:color w:val="000000" w:themeColor="text1"/>
        </w:rPr>
        <w:t>process</w:t>
      </w:r>
      <w:r w:rsidR="00FC0623">
        <w:rPr>
          <w:color w:val="000000" w:themeColor="text1"/>
        </w:rPr>
        <w:t>es</w:t>
      </w:r>
      <w:r w:rsidR="12BD31F2" w:rsidRPr="0B00413E">
        <w:rPr>
          <w:color w:val="000000" w:themeColor="text1"/>
        </w:rPr>
        <w:t xml:space="preserve"> for </w:t>
      </w:r>
      <w:r w:rsidR="00FC0623">
        <w:rPr>
          <w:color w:val="000000" w:themeColor="text1"/>
        </w:rPr>
        <w:t xml:space="preserve">the </w:t>
      </w:r>
      <w:r w:rsidR="4DD75256" w:rsidRPr="0B00413E">
        <w:rPr>
          <w:color w:val="000000" w:themeColor="text1"/>
        </w:rPr>
        <w:t>Community</w:t>
      </w:r>
      <w:r w:rsidR="2E0D13C5" w:rsidRPr="0B00413E">
        <w:rPr>
          <w:color w:val="000000" w:themeColor="text1"/>
        </w:rPr>
        <w:t xml:space="preserve"> </w:t>
      </w:r>
      <w:r w:rsidR="12BD31F2" w:rsidRPr="0B00413E">
        <w:rPr>
          <w:color w:val="000000" w:themeColor="text1"/>
        </w:rPr>
        <w:t>I</w:t>
      </w:r>
      <w:r w:rsidR="30D93689" w:rsidRPr="0B00413E">
        <w:rPr>
          <w:color w:val="000000" w:themeColor="text1"/>
        </w:rPr>
        <w:t xml:space="preserve">nfrastructure </w:t>
      </w:r>
      <w:r w:rsidR="12BD31F2" w:rsidRPr="0B00413E">
        <w:rPr>
          <w:color w:val="000000" w:themeColor="text1"/>
        </w:rPr>
        <w:t>L</w:t>
      </w:r>
      <w:r w:rsidR="42D6E3AA" w:rsidRPr="0B00413E">
        <w:rPr>
          <w:color w:val="000000" w:themeColor="text1"/>
        </w:rPr>
        <w:t>evy</w:t>
      </w:r>
      <w:r w:rsidR="4354C0C8" w:rsidRPr="0B00413E">
        <w:rPr>
          <w:color w:val="000000" w:themeColor="text1"/>
        </w:rPr>
        <w:t xml:space="preserve"> (CIL)</w:t>
      </w:r>
      <w:r w:rsidR="12BD31F2" w:rsidRPr="0B00413E">
        <w:rPr>
          <w:color w:val="000000" w:themeColor="text1"/>
        </w:rPr>
        <w:t xml:space="preserve"> and S</w:t>
      </w:r>
      <w:r w:rsidR="13B4CEB1" w:rsidRPr="0B00413E">
        <w:rPr>
          <w:color w:val="000000" w:themeColor="text1"/>
        </w:rPr>
        <w:t xml:space="preserve">ection </w:t>
      </w:r>
      <w:r w:rsidR="12BD31F2" w:rsidRPr="0B00413E">
        <w:rPr>
          <w:color w:val="000000" w:themeColor="text1"/>
        </w:rPr>
        <w:t xml:space="preserve">106 </w:t>
      </w:r>
      <w:r w:rsidR="7A3C0092" w:rsidRPr="0B00413E">
        <w:rPr>
          <w:color w:val="000000" w:themeColor="text1"/>
        </w:rPr>
        <w:t xml:space="preserve">(S106) </w:t>
      </w:r>
      <w:r w:rsidR="12BD31F2" w:rsidRPr="0B00413E">
        <w:rPr>
          <w:color w:val="000000" w:themeColor="text1"/>
        </w:rPr>
        <w:t>agreements.</w:t>
      </w:r>
    </w:p>
    <w:p w14:paraId="5E219488" w14:textId="3D7BCFDD" w:rsidR="386D1345" w:rsidRDefault="386D1345" w:rsidP="2589F76D">
      <w:pPr>
        <w:pStyle w:val="Heading1"/>
        <w:spacing w:line="259" w:lineRule="auto"/>
        <w:rPr>
          <w:color w:val="000000" w:themeColor="text1"/>
        </w:rPr>
      </w:pPr>
      <w:r w:rsidRPr="2589F76D">
        <w:rPr>
          <w:color w:val="000000" w:themeColor="text1"/>
        </w:rPr>
        <w:t>CIL</w:t>
      </w:r>
    </w:p>
    <w:p w14:paraId="7E108D34" w14:textId="71AB413D" w:rsidR="504A6D6F" w:rsidRDefault="6D3FE80A" w:rsidP="0B00413E">
      <w:pPr>
        <w:pStyle w:val="bParagraphtext"/>
        <w:rPr>
          <w:rFonts w:ascii="Helvetica" w:eastAsia="Helvetica" w:hAnsi="Helvetica" w:cs="Helvetica"/>
          <w:color w:val="000000" w:themeColor="text1"/>
        </w:rPr>
      </w:pPr>
      <w:r w:rsidRPr="0B00413E">
        <w:rPr>
          <w:rFonts w:ascii="Helvetica" w:eastAsia="Helvetica" w:hAnsi="Helvetica" w:cs="Helvetica"/>
          <w:color w:val="000000" w:themeColor="text1"/>
        </w:rPr>
        <w:t>CIL</w:t>
      </w:r>
      <w:r w:rsidR="504A6D6F" w:rsidRPr="0B00413E">
        <w:rPr>
          <w:rFonts w:ascii="Helvetica" w:eastAsia="Helvetica" w:hAnsi="Helvetica" w:cs="Helvetica"/>
          <w:color w:val="000000" w:themeColor="text1"/>
        </w:rPr>
        <w:t xml:space="preserve"> is a planning charge on new development to help the funding of infrastructure</w:t>
      </w:r>
      <w:r w:rsidR="7638DD5C" w:rsidRPr="0B00413E">
        <w:rPr>
          <w:rFonts w:ascii="Helvetica" w:eastAsia="Helvetica" w:hAnsi="Helvetica" w:cs="Helvetica"/>
          <w:color w:val="000000" w:themeColor="text1"/>
        </w:rPr>
        <w:t xml:space="preserve"> across the city</w:t>
      </w:r>
      <w:r w:rsidR="504A6D6F" w:rsidRPr="0B00413E">
        <w:rPr>
          <w:rFonts w:ascii="Helvetica" w:eastAsia="Helvetica" w:hAnsi="Helvetica" w:cs="Helvetica"/>
          <w:color w:val="000000" w:themeColor="text1"/>
        </w:rPr>
        <w:t>. Oxford City Council sets, collects the levy, and co-ordinates the spending of the funds and report</w:t>
      </w:r>
      <w:r w:rsidR="00FC0623">
        <w:rPr>
          <w:rFonts w:ascii="Helvetica" w:eastAsia="Helvetica" w:hAnsi="Helvetica" w:cs="Helvetica"/>
          <w:color w:val="000000" w:themeColor="text1"/>
        </w:rPr>
        <w:t>s</w:t>
      </w:r>
      <w:r w:rsidR="504A6D6F" w:rsidRPr="0B00413E">
        <w:rPr>
          <w:rFonts w:ascii="Helvetica" w:eastAsia="Helvetica" w:hAnsi="Helvetica" w:cs="Helvetica"/>
          <w:color w:val="000000" w:themeColor="text1"/>
        </w:rPr>
        <w:t xml:space="preserve"> this to the community.</w:t>
      </w:r>
    </w:p>
    <w:p w14:paraId="004A6BE4" w14:textId="0C80FE53" w:rsidR="56B103D3" w:rsidRDefault="56B103D3" w:rsidP="2589F76D">
      <w:pPr>
        <w:pStyle w:val="bParagraphtext"/>
        <w:spacing w:line="259" w:lineRule="auto"/>
        <w:rPr>
          <w:color w:val="000000" w:themeColor="text1"/>
        </w:rPr>
      </w:pPr>
      <w:r w:rsidRPr="2589F76D">
        <w:rPr>
          <w:color w:val="000000" w:themeColor="text1"/>
        </w:rPr>
        <w:t>CIL applies on developments:</w:t>
      </w:r>
    </w:p>
    <w:p w14:paraId="3A558ECC" w14:textId="31E26586" w:rsidR="56B103D3" w:rsidRDefault="56B103D3" w:rsidP="2589F76D">
      <w:pPr>
        <w:pStyle w:val="bParagraphtext"/>
        <w:numPr>
          <w:ilvl w:val="1"/>
          <w:numId w:val="18"/>
        </w:numPr>
        <w:rPr>
          <w:rFonts w:ascii="Helvetica" w:eastAsia="Helvetica" w:hAnsi="Helvetica" w:cs="Helvetica"/>
          <w:color w:val="000000" w:themeColor="text1"/>
        </w:rPr>
      </w:pPr>
      <w:r w:rsidRPr="2589F76D">
        <w:rPr>
          <w:rFonts w:ascii="Helvetica" w:eastAsia="Helvetica" w:hAnsi="Helvetica" w:cs="Helvetica"/>
          <w:color w:val="000000" w:themeColor="text1"/>
        </w:rPr>
        <w:t>that create 100m2 or more of new build floor space measured as Gross Internal Floor Area (GIA</w:t>
      </w:r>
      <w:proofErr w:type="gramStart"/>
      <w:r w:rsidRPr="2589F76D">
        <w:rPr>
          <w:rFonts w:ascii="Helvetica" w:eastAsia="Helvetica" w:hAnsi="Helvetica" w:cs="Helvetica"/>
          <w:color w:val="000000" w:themeColor="text1"/>
        </w:rPr>
        <w:t>);</w:t>
      </w:r>
      <w:proofErr w:type="gramEnd"/>
    </w:p>
    <w:p w14:paraId="04A3626B" w14:textId="37629F8B" w:rsidR="56B103D3" w:rsidRDefault="56B103D3" w:rsidP="2589F76D">
      <w:pPr>
        <w:pStyle w:val="ListParagraph"/>
        <w:numPr>
          <w:ilvl w:val="1"/>
          <w:numId w:val="18"/>
        </w:numPr>
        <w:spacing w:after="0"/>
        <w:rPr>
          <w:rFonts w:ascii="Helvetica" w:eastAsia="Helvetica" w:hAnsi="Helvetica" w:cs="Helvetica"/>
          <w:color w:val="000000" w:themeColor="text1"/>
        </w:rPr>
      </w:pPr>
      <w:r w:rsidRPr="2589F76D">
        <w:rPr>
          <w:rFonts w:ascii="Helvetica" w:eastAsia="Helvetica" w:hAnsi="Helvetica" w:cs="Helvetica"/>
          <w:color w:val="000000" w:themeColor="text1"/>
        </w:rPr>
        <w:t xml:space="preserve">of less than 100m2 new build GIA that results in the creation of one or more </w:t>
      </w:r>
      <w:proofErr w:type="gramStart"/>
      <w:r w:rsidRPr="2589F76D">
        <w:rPr>
          <w:rFonts w:ascii="Helvetica" w:eastAsia="Helvetica" w:hAnsi="Helvetica" w:cs="Helvetica"/>
          <w:color w:val="000000" w:themeColor="text1"/>
        </w:rPr>
        <w:t>dwellings;</w:t>
      </w:r>
      <w:proofErr w:type="gramEnd"/>
    </w:p>
    <w:p w14:paraId="2BA25CD2" w14:textId="51F2C0FD" w:rsidR="56B103D3" w:rsidRDefault="56B103D3" w:rsidP="2589F76D">
      <w:pPr>
        <w:pStyle w:val="ListParagraph"/>
        <w:numPr>
          <w:ilvl w:val="1"/>
          <w:numId w:val="18"/>
        </w:numPr>
        <w:spacing w:after="0" w:line="360" w:lineRule="auto"/>
        <w:rPr>
          <w:rFonts w:ascii="Helvetica" w:eastAsia="Helvetica" w:hAnsi="Helvetica" w:cs="Helvetica"/>
          <w:color w:val="000000" w:themeColor="text1"/>
        </w:rPr>
      </w:pPr>
      <w:r w:rsidRPr="2589F76D">
        <w:rPr>
          <w:rFonts w:ascii="Helvetica" w:eastAsia="Helvetica" w:hAnsi="Helvetica" w:cs="Helvetica"/>
          <w:color w:val="000000" w:themeColor="text1"/>
        </w:rPr>
        <w:t xml:space="preserve">that are a conversion of a building that is no longer in </w:t>
      </w:r>
      <w:r w:rsidR="00FC0623">
        <w:rPr>
          <w:rFonts w:ascii="Helvetica" w:eastAsia="Helvetica" w:hAnsi="Helvetica" w:cs="Helvetica"/>
          <w:color w:val="000000" w:themeColor="text1"/>
        </w:rPr>
        <w:t xml:space="preserve">a </w:t>
      </w:r>
      <w:r w:rsidRPr="2589F76D">
        <w:rPr>
          <w:rFonts w:ascii="Helvetica" w:eastAsia="Helvetica" w:hAnsi="Helvetica" w:cs="Helvetica"/>
          <w:color w:val="000000" w:themeColor="text1"/>
        </w:rPr>
        <w:t>lawful use.</w:t>
      </w:r>
    </w:p>
    <w:p w14:paraId="6F9A87D5" w14:textId="6DBD4395" w:rsidR="00E87F7A" w:rsidRPr="001356F1" w:rsidRDefault="56B103D3" w:rsidP="2589F76D">
      <w:pPr>
        <w:pStyle w:val="bParagraphtext"/>
        <w:spacing w:line="360" w:lineRule="auto"/>
        <w:rPr>
          <w:rFonts w:ascii="Helvetica" w:eastAsia="Helvetica" w:hAnsi="Helvetica" w:cs="Helvetica"/>
          <w:color w:val="000000" w:themeColor="text1"/>
        </w:rPr>
      </w:pPr>
      <w:r w:rsidRPr="2589F76D">
        <w:rPr>
          <w:rFonts w:ascii="Helvetica" w:eastAsia="Helvetica" w:hAnsi="Helvetica" w:cs="Helvetica"/>
          <w:color w:val="000000" w:themeColor="text1"/>
        </w:rPr>
        <w:t>Payment of CIL is triggered by the commencement of development.</w:t>
      </w:r>
    </w:p>
    <w:p w14:paraId="499D6A02" w14:textId="59A89B93" w:rsidR="4B0E6462" w:rsidRDefault="4B0E6462" w:rsidP="2589F76D">
      <w:pPr>
        <w:pStyle w:val="bParagraphtext"/>
        <w:rPr>
          <w:rFonts w:ascii="Helvetica" w:eastAsia="Helvetica" w:hAnsi="Helvetica" w:cs="Helvetica"/>
          <w:color w:val="000000" w:themeColor="text1"/>
        </w:rPr>
      </w:pPr>
      <w:r w:rsidRPr="2589F76D">
        <w:rPr>
          <w:rFonts w:ascii="Helvetica" w:eastAsia="Helvetica" w:hAnsi="Helvetica" w:cs="Helvetica"/>
          <w:color w:val="000000" w:themeColor="text1"/>
        </w:rPr>
        <w:t xml:space="preserve">CIL funds that are received are allocated into three separate parts by </w:t>
      </w:r>
      <w:r w:rsidR="00FC0623">
        <w:rPr>
          <w:rFonts w:ascii="Helvetica" w:eastAsia="Helvetica" w:hAnsi="Helvetica" w:cs="Helvetica"/>
          <w:color w:val="000000" w:themeColor="text1"/>
        </w:rPr>
        <w:t>t</w:t>
      </w:r>
      <w:r w:rsidRPr="2589F76D">
        <w:rPr>
          <w:rFonts w:ascii="Helvetica" w:eastAsia="Helvetica" w:hAnsi="Helvetica" w:cs="Helvetica"/>
          <w:color w:val="000000" w:themeColor="text1"/>
        </w:rPr>
        <w:t>he Council:</w:t>
      </w:r>
    </w:p>
    <w:p w14:paraId="128303B2" w14:textId="60495567" w:rsidR="4B0E6462" w:rsidRDefault="4B0E6462" w:rsidP="00E75A7F">
      <w:pPr>
        <w:pStyle w:val="bParagraphtext"/>
        <w:numPr>
          <w:ilvl w:val="1"/>
          <w:numId w:val="18"/>
        </w:numPr>
        <w:rPr>
          <w:rFonts w:ascii="Helvetica" w:eastAsia="Helvetica" w:hAnsi="Helvetica" w:cs="Helvetica"/>
          <w:color w:val="000000" w:themeColor="text1"/>
        </w:rPr>
      </w:pPr>
      <w:r w:rsidRPr="388F6ADE">
        <w:rPr>
          <w:rFonts w:ascii="Helvetica" w:eastAsia="Helvetica" w:hAnsi="Helvetica" w:cs="Helvetica"/>
          <w:color w:val="000000" w:themeColor="text1"/>
        </w:rPr>
        <w:t>70-80% is allocated to the Council’s Strategic spending</w:t>
      </w:r>
      <w:r w:rsidR="49E966DB" w:rsidRPr="388F6ADE">
        <w:rPr>
          <w:rFonts w:ascii="Helvetica" w:eastAsia="Helvetica" w:hAnsi="Helvetica" w:cs="Helvetica"/>
          <w:color w:val="000000" w:themeColor="text1"/>
        </w:rPr>
        <w:t xml:space="preserve">, working with external partners as </w:t>
      </w:r>
      <w:proofErr w:type="gramStart"/>
      <w:r w:rsidR="49E966DB" w:rsidRPr="388F6ADE">
        <w:rPr>
          <w:rFonts w:ascii="Helvetica" w:eastAsia="Helvetica" w:hAnsi="Helvetica" w:cs="Helvetica"/>
          <w:color w:val="000000" w:themeColor="text1"/>
        </w:rPr>
        <w:t>required</w:t>
      </w:r>
      <w:r w:rsidRPr="388F6ADE">
        <w:rPr>
          <w:rFonts w:ascii="Helvetica" w:eastAsia="Helvetica" w:hAnsi="Helvetica" w:cs="Helvetica"/>
          <w:color w:val="000000" w:themeColor="text1"/>
        </w:rPr>
        <w:t>;</w:t>
      </w:r>
      <w:proofErr w:type="gramEnd"/>
    </w:p>
    <w:p w14:paraId="5B340E7D" w14:textId="7602D9F5" w:rsidR="4B0E6462" w:rsidRPr="00E75A7F" w:rsidRDefault="4B0E6462" w:rsidP="00E75A7F">
      <w:pPr>
        <w:pStyle w:val="bParagraphtext"/>
        <w:numPr>
          <w:ilvl w:val="1"/>
          <w:numId w:val="18"/>
        </w:numPr>
        <w:rPr>
          <w:rFonts w:ascii="Helvetica" w:eastAsia="Helvetica" w:hAnsi="Helvetica" w:cs="Helvetica"/>
          <w:color w:val="000000" w:themeColor="text1"/>
        </w:rPr>
      </w:pPr>
      <w:r w:rsidRPr="0B00413E">
        <w:rPr>
          <w:rFonts w:ascii="Helvetica" w:eastAsia="Helvetica" w:hAnsi="Helvetica" w:cs="Helvetica"/>
          <w:color w:val="000000" w:themeColor="text1"/>
        </w:rPr>
        <w:t xml:space="preserve">25% is allocated </w:t>
      </w:r>
      <w:r w:rsidR="14FD84B2" w:rsidRPr="0B00413E">
        <w:rPr>
          <w:rFonts w:ascii="Helvetica" w:eastAsia="Helvetica" w:hAnsi="Helvetica" w:cs="Helvetica"/>
          <w:color w:val="000000" w:themeColor="text1"/>
        </w:rPr>
        <w:t>where there is</w:t>
      </w:r>
      <w:r w:rsidRPr="0B00413E">
        <w:rPr>
          <w:rFonts w:ascii="Helvetica" w:eastAsia="Helvetica" w:hAnsi="Helvetica" w:cs="Helvetica"/>
          <w:color w:val="000000" w:themeColor="text1"/>
        </w:rPr>
        <w:t xml:space="preserve"> </w:t>
      </w:r>
      <w:r w:rsidR="776C5FAF" w:rsidRPr="0B00413E">
        <w:rPr>
          <w:rFonts w:ascii="Helvetica" w:eastAsia="Helvetica" w:hAnsi="Helvetica" w:cs="Helvetica"/>
          <w:color w:val="000000" w:themeColor="text1"/>
        </w:rPr>
        <w:t xml:space="preserve">a </w:t>
      </w:r>
      <w:r w:rsidRPr="0B00413E">
        <w:rPr>
          <w:rFonts w:ascii="Helvetica" w:eastAsia="Helvetica" w:hAnsi="Helvetica" w:cs="Helvetica"/>
          <w:color w:val="000000" w:themeColor="text1"/>
        </w:rPr>
        <w:t>Parish Council or Neighbourhood Forum</w:t>
      </w:r>
      <w:r w:rsidR="2EB8EF31" w:rsidRPr="0B00413E">
        <w:rPr>
          <w:rFonts w:ascii="Helvetica" w:eastAsia="Helvetica" w:hAnsi="Helvetica" w:cs="Helvetica"/>
          <w:color w:val="000000" w:themeColor="text1"/>
        </w:rPr>
        <w:t xml:space="preserve"> with an adopted Neighbourhood Plan</w:t>
      </w:r>
      <w:r w:rsidR="00E75A7F">
        <w:rPr>
          <w:rFonts w:ascii="Helvetica" w:eastAsia="Helvetica" w:hAnsi="Helvetica" w:cs="Helvetica"/>
          <w:color w:val="000000" w:themeColor="text1"/>
        </w:rPr>
        <w:t xml:space="preserve">. </w:t>
      </w:r>
      <w:r w:rsidR="7501A875" w:rsidRPr="00E75A7F">
        <w:rPr>
          <w:rFonts w:ascii="Helvetica" w:eastAsia="Helvetica" w:hAnsi="Helvetica" w:cs="Helvetica"/>
          <w:color w:val="000000" w:themeColor="text1"/>
        </w:rPr>
        <w:t xml:space="preserve">If the site is not covered by a </w:t>
      </w:r>
      <w:r w:rsidR="24846A47" w:rsidRPr="00E75A7F">
        <w:rPr>
          <w:rFonts w:ascii="Helvetica" w:eastAsia="Helvetica" w:hAnsi="Helvetica" w:cs="Helvetica"/>
          <w:color w:val="000000" w:themeColor="text1"/>
        </w:rPr>
        <w:t>Neighbourhood Plan, 15</w:t>
      </w:r>
      <w:r w:rsidRPr="00E75A7F">
        <w:rPr>
          <w:rFonts w:ascii="Helvetica" w:eastAsia="Helvetica" w:hAnsi="Helvetica" w:cs="Helvetica"/>
          <w:color w:val="000000" w:themeColor="text1"/>
        </w:rPr>
        <w:t xml:space="preserve">% </w:t>
      </w:r>
      <w:r w:rsidR="448B3E7E" w:rsidRPr="00E75A7F">
        <w:rPr>
          <w:rFonts w:ascii="Helvetica" w:eastAsia="Helvetica" w:hAnsi="Helvetica" w:cs="Helvetica"/>
          <w:color w:val="000000" w:themeColor="text1"/>
        </w:rPr>
        <w:t xml:space="preserve">is allocated and </w:t>
      </w:r>
      <w:r w:rsidRPr="00E75A7F">
        <w:rPr>
          <w:rFonts w:ascii="Helvetica" w:eastAsia="Helvetica" w:hAnsi="Helvetica" w:cs="Helvetica"/>
          <w:color w:val="000000" w:themeColor="text1"/>
        </w:rPr>
        <w:t xml:space="preserve">is spent in two ways – the Council allocates £2,500 to Ward Members annually and the remaining monies are then made available for the Council to </w:t>
      </w:r>
      <w:proofErr w:type="gramStart"/>
      <w:r w:rsidRPr="00E75A7F">
        <w:rPr>
          <w:rFonts w:ascii="Helvetica" w:eastAsia="Helvetica" w:hAnsi="Helvetica" w:cs="Helvetica"/>
          <w:color w:val="000000" w:themeColor="text1"/>
        </w:rPr>
        <w:t>spend;</w:t>
      </w:r>
      <w:proofErr w:type="gramEnd"/>
    </w:p>
    <w:p w14:paraId="5A8BEA3D" w14:textId="79D4F2C5" w:rsidR="4B0E6462" w:rsidRDefault="4B0E6462" w:rsidP="00E75A7F">
      <w:pPr>
        <w:pStyle w:val="bParagraphtext"/>
        <w:numPr>
          <w:ilvl w:val="1"/>
          <w:numId w:val="18"/>
        </w:numPr>
        <w:rPr>
          <w:color w:val="000000" w:themeColor="text1"/>
        </w:rPr>
      </w:pPr>
      <w:r w:rsidRPr="2589F76D">
        <w:rPr>
          <w:rFonts w:ascii="Helvetica" w:eastAsia="Helvetica" w:hAnsi="Helvetica" w:cs="Helvetica"/>
          <w:color w:val="000000" w:themeColor="text1"/>
        </w:rPr>
        <w:t xml:space="preserve">5% is allocated to the Administration of </w:t>
      </w:r>
      <w:proofErr w:type="gramStart"/>
      <w:r w:rsidRPr="2589F76D">
        <w:rPr>
          <w:rFonts w:ascii="Helvetica" w:eastAsia="Helvetica" w:hAnsi="Helvetica" w:cs="Helvetica"/>
          <w:color w:val="000000" w:themeColor="text1"/>
        </w:rPr>
        <w:t>CIL;</w:t>
      </w:r>
      <w:proofErr w:type="gramEnd"/>
    </w:p>
    <w:p w14:paraId="62FF1037" w14:textId="7CDF8FFF" w:rsidR="383B164C" w:rsidRDefault="383B164C" w:rsidP="2589F76D">
      <w:pPr>
        <w:pStyle w:val="bParagraphtext"/>
        <w:rPr>
          <w:rFonts w:ascii="Helvetica" w:eastAsia="Helvetica" w:hAnsi="Helvetica" w:cs="Helvetica"/>
          <w:color w:val="000000" w:themeColor="text1"/>
        </w:rPr>
      </w:pPr>
      <w:r w:rsidRPr="2589F76D">
        <w:rPr>
          <w:rFonts w:ascii="Helvetica" w:eastAsia="Helvetica" w:hAnsi="Helvetica" w:cs="Helvetica"/>
          <w:color w:val="000000" w:themeColor="text1"/>
        </w:rPr>
        <w:t>Receipts and payments are recorded</w:t>
      </w:r>
      <w:r w:rsidR="0044A4D6" w:rsidRPr="2589F76D">
        <w:rPr>
          <w:rFonts w:ascii="Helvetica" w:eastAsia="Helvetica" w:hAnsi="Helvetica" w:cs="Helvetica"/>
          <w:color w:val="000000" w:themeColor="text1"/>
        </w:rPr>
        <w:t>, processed,</w:t>
      </w:r>
      <w:r w:rsidRPr="2589F76D">
        <w:rPr>
          <w:rFonts w:ascii="Helvetica" w:eastAsia="Helvetica" w:hAnsi="Helvetica" w:cs="Helvetica"/>
          <w:color w:val="000000" w:themeColor="text1"/>
        </w:rPr>
        <w:t xml:space="preserve"> and monitored by the CIL and Data Analysis Team.</w:t>
      </w:r>
    </w:p>
    <w:p w14:paraId="0F862816" w14:textId="386D5343" w:rsidR="5450370A" w:rsidRDefault="5450370A" w:rsidP="2589F76D">
      <w:pPr>
        <w:pStyle w:val="bParagraphtext"/>
        <w:numPr>
          <w:ilvl w:val="0"/>
          <w:numId w:val="0"/>
        </w:numPr>
        <w:rPr>
          <w:b/>
          <w:bCs/>
          <w:color w:val="000000" w:themeColor="text1"/>
        </w:rPr>
      </w:pPr>
      <w:r w:rsidRPr="2589F76D">
        <w:rPr>
          <w:b/>
          <w:bCs/>
          <w:color w:val="000000" w:themeColor="text1"/>
        </w:rPr>
        <w:t>Section 106</w:t>
      </w:r>
    </w:p>
    <w:p w14:paraId="0D257903" w14:textId="7115C8CC" w:rsidR="5450370A" w:rsidRDefault="5450370A" w:rsidP="2589F76D">
      <w:pPr>
        <w:pStyle w:val="bParagraphtext"/>
        <w:spacing w:line="259" w:lineRule="auto"/>
        <w:rPr>
          <w:color w:val="000000" w:themeColor="text1"/>
        </w:rPr>
      </w:pPr>
      <w:r w:rsidRPr="0B00413E">
        <w:rPr>
          <w:color w:val="000000" w:themeColor="text1"/>
        </w:rPr>
        <w:t xml:space="preserve">S106 </w:t>
      </w:r>
      <w:r w:rsidR="6C51A5C6" w:rsidRPr="0B00413E">
        <w:rPr>
          <w:color w:val="000000" w:themeColor="text1"/>
        </w:rPr>
        <w:t xml:space="preserve">legal </w:t>
      </w:r>
      <w:r w:rsidRPr="0B00413E">
        <w:rPr>
          <w:color w:val="000000" w:themeColor="text1"/>
        </w:rPr>
        <w:t>agreement</w:t>
      </w:r>
      <w:r w:rsidR="72045279" w:rsidRPr="0B00413E">
        <w:rPr>
          <w:color w:val="000000" w:themeColor="text1"/>
        </w:rPr>
        <w:t xml:space="preserve">s </w:t>
      </w:r>
      <w:r w:rsidR="00FC0623">
        <w:rPr>
          <w:color w:val="000000" w:themeColor="text1"/>
        </w:rPr>
        <w:t xml:space="preserve">and unilateral undertakings </w:t>
      </w:r>
      <w:r w:rsidR="72045279" w:rsidRPr="0B00413E">
        <w:rPr>
          <w:color w:val="000000" w:themeColor="text1"/>
        </w:rPr>
        <w:t xml:space="preserve">are </w:t>
      </w:r>
      <w:r w:rsidR="00FC0623">
        <w:rPr>
          <w:color w:val="000000" w:themeColor="text1"/>
        </w:rPr>
        <w:t xml:space="preserve">planning obligations that are </w:t>
      </w:r>
      <w:r w:rsidR="15EC8F8D" w:rsidRPr="0B00413E">
        <w:rPr>
          <w:color w:val="000000" w:themeColor="text1"/>
        </w:rPr>
        <w:t>entered into be</w:t>
      </w:r>
      <w:r w:rsidR="3E277BFC" w:rsidRPr="0B00413E">
        <w:rPr>
          <w:color w:val="000000" w:themeColor="text1"/>
        </w:rPr>
        <w:t>fore planning permission is granted</w:t>
      </w:r>
      <w:r w:rsidR="0488F7AA" w:rsidRPr="0B00413E">
        <w:rPr>
          <w:color w:val="000000" w:themeColor="text1"/>
        </w:rPr>
        <w:t xml:space="preserve"> on </w:t>
      </w:r>
      <w:r w:rsidR="00FC0623">
        <w:rPr>
          <w:color w:val="000000" w:themeColor="text1"/>
        </w:rPr>
        <w:t xml:space="preserve">certain </w:t>
      </w:r>
      <w:r w:rsidR="0488F7AA" w:rsidRPr="0B00413E">
        <w:rPr>
          <w:color w:val="000000" w:themeColor="text1"/>
        </w:rPr>
        <w:t>planning applications</w:t>
      </w:r>
      <w:r w:rsidR="01C8623E" w:rsidRPr="0B00413E">
        <w:rPr>
          <w:color w:val="000000" w:themeColor="text1"/>
        </w:rPr>
        <w:t xml:space="preserve"> </w:t>
      </w:r>
      <w:proofErr w:type="gramStart"/>
      <w:r w:rsidR="00D40A38">
        <w:rPr>
          <w:color w:val="000000" w:themeColor="text1"/>
        </w:rPr>
        <w:t>in order to</w:t>
      </w:r>
      <w:proofErr w:type="gramEnd"/>
      <w:r w:rsidR="00D40A38">
        <w:rPr>
          <w:color w:val="000000" w:themeColor="text1"/>
        </w:rPr>
        <w:t xml:space="preserve"> make the developments acceptable in planning terms.  This can consist of</w:t>
      </w:r>
      <w:r w:rsidR="01C8623E" w:rsidRPr="0B00413E">
        <w:rPr>
          <w:color w:val="000000" w:themeColor="text1"/>
        </w:rPr>
        <w:t xml:space="preserve"> </w:t>
      </w:r>
      <w:r w:rsidR="00D40A38">
        <w:rPr>
          <w:color w:val="000000" w:themeColor="text1"/>
        </w:rPr>
        <w:t>requiring</w:t>
      </w:r>
      <w:r w:rsidR="01C8623E" w:rsidRPr="0B00413E">
        <w:rPr>
          <w:color w:val="000000" w:themeColor="text1"/>
        </w:rPr>
        <w:t xml:space="preserve"> developers </w:t>
      </w:r>
      <w:r w:rsidR="00D40A38">
        <w:rPr>
          <w:color w:val="000000" w:themeColor="text1"/>
        </w:rPr>
        <w:t xml:space="preserve">to </w:t>
      </w:r>
      <w:r w:rsidR="01C8623E" w:rsidRPr="0B00413E">
        <w:rPr>
          <w:color w:val="000000" w:themeColor="text1"/>
        </w:rPr>
        <w:t xml:space="preserve">pay contributions towards affordable housing </w:t>
      </w:r>
      <w:r w:rsidR="00D40A38">
        <w:rPr>
          <w:color w:val="000000" w:themeColor="text1"/>
        </w:rPr>
        <w:t xml:space="preserve">or to provide this on site </w:t>
      </w:r>
      <w:r w:rsidR="01C8623E" w:rsidRPr="0B00413E">
        <w:rPr>
          <w:color w:val="000000" w:themeColor="text1"/>
        </w:rPr>
        <w:t xml:space="preserve">and/or </w:t>
      </w:r>
      <w:r w:rsidR="00D40A38">
        <w:rPr>
          <w:color w:val="000000" w:themeColor="text1"/>
        </w:rPr>
        <w:t>to pay towards o</w:t>
      </w:r>
      <w:r w:rsidR="00630622">
        <w:rPr>
          <w:color w:val="000000" w:themeColor="text1"/>
        </w:rPr>
        <w:t>r</w:t>
      </w:r>
      <w:r w:rsidR="00D40A38">
        <w:rPr>
          <w:color w:val="000000" w:themeColor="text1"/>
        </w:rPr>
        <w:t xml:space="preserve"> provide other </w:t>
      </w:r>
      <w:r w:rsidR="01C8623E" w:rsidRPr="0B00413E">
        <w:rPr>
          <w:color w:val="000000" w:themeColor="text1"/>
        </w:rPr>
        <w:t>infrastructure</w:t>
      </w:r>
      <w:r w:rsidR="623BE517" w:rsidRPr="0B00413E">
        <w:rPr>
          <w:color w:val="000000" w:themeColor="text1"/>
        </w:rPr>
        <w:t xml:space="preserve"> </w:t>
      </w:r>
      <w:r w:rsidR="00D40A38">
        <w:rPr>
          <w:color w:val="000000" w:themeColor="text1"/>
        </w:rPr>
        <w:t xml:space="preserve">which is </w:t>
      </w:r>
      <w:r w:rsidR="623BE517" w:rsidRPr="0B00413E">
        <w:rPr>
          <w:color w:val="000000" w:themeColor="text1"/>
        </w:rPr>
        <w:t>directly related to the impact of the development</w:t>
      </w:r>
      <w:r w:rsidR="3E277BFC" w:rsidRPr="0B00413E">
        <w:rPr>
          <w:color w:val="000000" w:themeColor="text1"/>
        </w:rPr>
        <w:t>.</w:t>
      </w:r>
      <w:r w:rsidRPr="0B00413E">
        <w:rPr>
          <w:color w:val="000000" w:themeColor="text1"/>
        </w:rPr>
        <w:t xml:space="preserve"> </w:t>
      </w:r>
    </w:p>
    <w:p w14:paraId="331773A9" w14:textId="32A09392" w:rsidR="010C56C1" w:rsidRDefault="010C56C1" w:rsidP="0B00413E">
      <w:pPr>
        <w:pStyle w:val="bParagraphtext"/>
        <w:spacing w:line="259" w:lineRule="auto"/>
        <w:rPr>
          <w:rFonts w:eastAsia="Arial" w:cs="Arial"/>
          <w:color w:val="000000" w:themeColor="text1"/>
          <w:sz w:val="25"/>
          <w:szCs w:val="25"/>
        </w:rPr>
      </w:pPr>
      <w:r w:rsidRPr="0B00413E">
        <w:rPr>
          <w:rFonts w:eastAsia="Arial" w:cs="Arial"/>
          <w:color w:val="000000" w:themeColor="text1"/>
          <w:sz w:val="25"/>
          <w:szCs w:val="25"/>
        </w:rPr>
        <w:t>Planning Obligations may</w:t>
      </w:r>
      <w:r w:rsidR="364690F0" w:rsidRPr="0B00413E">
        <w:rPr>
          <w:rFonts w:eastAsia="Arial" w:cs="Arial"/>
          <w:color w:val="000000" w:themeColor="text1"/>
          <w:sz w:val="25"/>
          <w:szCs w:val="25"/>
        </w:rPr>
        <w:t xml:space="preserve"> only</w:t>
      </w:r>
      <w:r w:rsidRPr="0B00413E">
        <w:rPr>
          <w:rFonts w:eastAsia="Arial" w:cs="Arial"/>
          <w:color w:val="000000" w:themeColor="text1"/>
          <w:sz w:val="25"/>
          <w:szCs w:val="25"/>
        </w:rPr>
        <w:t xml:space="preserve"> be entered into if </w:t>
      </w:r>
      <w:r w:rsidR="00D40A38">
        <w:rPr>
          <w:rFonts w:eastAsia="Arial" w:cs="Arial"/>
          <w:color w:val="000000" w:themeColor="text1"/>
          <w:sz w:val="25"/>
          <w:szCs w:val="25"/>
        </w:rPr>
        <w:t xml:space="preserve">they </w:t>
      </w:r>
      <w:proofErr w:type="gramStart"/>
      <w:r w:rsidR="00D40A38">
        <w:rPr>
          <w:rFonts w:eastAsia="Arial" w:cs="Arial"/>
          <w:color w:val="000000" w:themeColor="text1"/>
          <w:sz w:val="25"/>
          <w:szCs w:val="25"/>
        </w:rPr>
        <w:t>are</w:t>
      </w:r>
      <w:proofErr w:type="gramEnd"/>
    </w:p>
    <w:p w14:paraId="14CEC679" w14:textId="04D15A12" w:rsidR="010C56C1" w:rsidRDefault="010C56C1" w:rsidP="2589F76D">
      <w:pPr>
        <w:pStyle w:val="bParagraphtext"/>
        <w:numPr>
          <w:ilvl w:val="0"/>
          <w:numId w:val="1"/>
        </w:numPr>
        <w:spacing w:line="259" w:lineRule="auto"/>
        <w:rPr>
          <w:rFonts w:eastAsia="Arial" w:cs="Arial"/>
          <w:color w:val="000000" w:themeColor="text1"/>
        </w:rPr>
      </w:pPr>
      <w:r w:rsidRPr="2589F76D">
        <w:rPr>
          <w:rFonts w:eastAsia="Arial" w:cs="Arial"/>
          <w:b/>
          <w:bCs/>
          <w:color w:val="000000" w:themeColor="text1"/>
          <w:sz w:val="25"/>
          <w:szCs w:val="25"/>
        </w:rPr>
        <w:t>necessary to</w:t>
      </w:r>
      <w:r w:rsidRPr="2589F76D">
        <w:rPr>
          <w:rFonts w:eastAsia="Arial" w:cs="Arial"/>
          <w:color w:val="000000" w:themeColor="text1"/>
          <w:sz w:val="25"/>
          <w:szCs w:val="25"/>
        </w:rPr>
        <w:t xml:space="preserve"> make a development acceptable in planning </w:t>
      </w:r>
      <w:proofErr w:type="gramStart"/>
      <w:r w:rsidRPr="2589F76D">
        <w:rPr>
          <w:rFonts w:eastAsia="Arial" w:cs="Arial"/>
          <w:color w:val="000000" w:themeColor="text1"/>
          <w:sz w:val="25"/>
          <w:szCs w:val="25"/>
        </w:rPr>
        <w:t>terms;</w:t>
      </w:r>
      <w:proofErr w:type="gramEnd"/>
    </w:p>
    <w:p w14:paraId="7AB3FD19" w14:textId="78296588" w:rsidR="010C56C1" w:rsidRDefault="010C56C1" w:rsidP="2589F76D">
      <w:pPr>
        <w:pStyle w:val="bParagraphtext"/>
        <w:numPr>
          <w:ilvl w:val="0"/>
          <w:numId w:val="1"/>
        </w:numPr>
        <w:spacing w:line="259" w:lineRule="auto"/>
        <w:rPr>
          <w:rFonts w:eastAsia="Arial" w:cs="Arial"/>
          <w:color w:val="000000" w:themeColor="text1"/>
        </w:rPr>
      </w:pPr>
      <w:r w:rsidRPr="2589F76D">
        <w:rPr>
          <w:rFonts w:eastAsia="Arial" w:cs="Arial"/>
          <w:b/>
          <w:bCs/>
          <w:color w:val="000000" w:themeColor="text1"/>
          <w:sz w:val="25"/>
          <w:szCs w:val="25"/>
        </w:rPr>
        <w:t>directly related</w:t>
      </w:r>
      <w:r w:rsidRPr="2589F76D">
        <w:rPr>
          <w:rFonts w:eastAsia="Arial" w:cs="Arial"/>
          <w:color w:val="000000" w:themeColor="text1"/>
          <w:sz w:val="25"/>
          <w:szCs w:val="25"/>
        </w:rPr>
        <w:t xml:space="preserve"> to the development; and</w:t>
      </w:r>
    </w:p>
    <w:p w14:paraId="1465A8B8" w14:textId="6E6C481F" w:rsidR="010C56C1" w:rsidRDefault="010C56C1" w:rsidP="2589F76D">
      <w:pPr>
        <w:pStyle w:val="bParagraphtext"/>
        <w:numPr>
          <w:ilvl w:val="0"/>
          <w:numId w:val="1"/>
        </w:numPr>
        <w:spacing w:line="259" w:lineRule="auto"/>
        <w:rPr>
          <w:rFonts w:eastAsia="Arial" w:cs="Arial"/>
          <w:color w:val="000000" w:themeColor="text1"/>
        </w:rPr>
      </w:pPr>
      <w:r w:rsidRPr="2589F76D">
        <w:rPr>
          <w:rFonts w:eastAsia="Arial" w:cs="Arial"/>
          <w:b/>
          <w:bCs/>
          <w:color w:val="000000" w:themeColor="text1"/>
          <w:sz w:val="25"/>
          <w:szCs w:val="25"/>
        </w:rPr>
        <w:t>fairly and reasonably related in scale and kind</w:t>
      </w:r>
      <w:r w:rsidRPr="2589F76D">
        <w:rPr>
          <w:rFonts w:eastAsia="Arial" w:cs="Arial"/>
          <w:color w:val="000000" w:themeColor="text1"/>
          <w:sz w:val="25"/>
          <w:szCs w:val="25"/>
        </w:rPr>
        <w:t xml:space="preserve"> to a development.</w:t>
      </w:r>
    </w:p>
    <w:p w14:paraId="3B667EEF" w14:textId="141FE9E3" w:rsidR="63953B67" w:rsidRDefault="63953B67" w:rsidP="2589F76D">
      <w:pPr>
        <w:pStyle w:val="bParagraphtext"/>
        <w:spacing w:line="259" w:lineRule="auto"/>
        <w:rPr>
          <w:color w:val="000000" w:themeColor="text1"/>
        </w:rPr>
      </w:pPr>
      <w:r w:rsidRPr="2589F76D">
        <w:rPr>
          <w:color w:val="000000" w:themeColor="text1"/>
        </w:rPr>
        <w:t>T</w:t>
      </w:r>
      <w:r w:rsidR="5450370A" w:rsidRPr="2589F76D">
        <w:rPr>
          <w:color w:val="000000" w:themeColor="text1"/>
        </w:rPr>
        <w:t>he</w:t>
      </w:r>
      <w:r w:rsidRPr="2589F76D">
        <w:rPr>
          <w:color w:val="000000" w:themeColor="text1"/>
        </w:rPr>
        <w:t>se</w:t>
      </w:r>
      <w:r w:rsidR="5450370A" w:rsidRPr="2589F76D">
        <w:rPr>
          <w:color w:val="000000" w:themeColor="text1"/>
        </w:rPr>
        <w:t xml:space="preserve"> legal agreement</w:t>
      </w:r>
      <w:r w:rsidR="0438987D" w:rsidRPr="2589F76D">
        <w:rPr>
          <w:color w:val="000000" w:themeColor="text1"/>
        </w:rPr>
        <w:t>s</w:t>
      </w:r>
      <w:r w:rsidR="5450370A" w:rsidRPr="2589F76D">
        <w:rPr>
          <w:color w:val="000000" w:themeColor="text1"/>
        </w:rPr>
        <w:t xml:space="preserve"> set out trigger points for payment</w:t>
      </w:r>
      <w:r w:rsidR="4148AE57" w:rsidRPr="2589F76D">
        <w:rPr>
          <w:color w:val="000000" w:themeColor="text1"/>
        </w:rPr>
        <w:t>, such as upon commencement of construction or before the occupation of dwellings</w:t>
      </w:r>
      <w:r w:rsidR="5450370A" w:rsidRPr="2589F76D">
        <w:rPr>
          <w:color w:val="000000" w:themeColor="text1"/>
        </w:rPr>
        <w:t xml:space="preserve">. </w:t>
      </w:r>
      <w:r w:rsidR="73594B2B" w:rsidRPr="2589F76D">
        <w:rPr>
          <w:color w:val="000000" w:themeColor="text1"/>
        </w:rPr>
        <w:t>S106</w:t>
      </w:r>
      <w:r w:rsidR="63DB6A42" w:rsidRPr="2589F76D">
        <w:rPr>
          <w:color w:val="000000" w:themeColor="text1"/>
        </w:rPr>
        <w:t xml:space="preserve"> contributions are</w:t>
      </w:r>
      <w:r w:rsidR="7DB451F1" w:rsidRPr="2589F76D">
        <w:rPr>
          <w:color w:val="000000" w:themeColor="text1"/>
        </w:rPr>
        <w:t xml:space="preserve"> specified to be allocated for a specific use and are</w:t>
      </w:r>
      <w:r w:rsidR="63DB6A42" w:rsidRPr="2589F76D">
        <w:rPr>
          <w:color w:val="000000" w:themeColor="text1"/>
        </w:rPr>
        <w:t xml:space="preserve"> m</w:t>
      </w:r>
      <w:r w:rsidR="5450370A" w:rsidRPr="2589F76D">
        <w:rPr>
          <w:color w:val="000000" w:themeColor="text1"/>
        </w:rPr>
        <w:t xml:space="preserve">ainly prioritised in Oxford for </w:t>
      </w:r>
      <w:r w:rsidR="26181C5F" w:rsidRPr="2589F76D">
        <w:rPr>
          <w:color w:val="000000" w:themeColor="text1"/>
        </w:rPr>
        <w:t>a</w:t>
      </w:r>
      <w:r w:rsidR="5450370A" w:rsidRPr="2589F76D">
        <w:rPr>
          <w:color w:val="000000" w:themeColor="text1"/>
        </w:rPr>
        <w:t>ffordable housing contributions</w:t>
      </w:r>
      <w:r w:rsidR="60069296" w:rsidRPr="2589F76D">
        <w:rPr>
          <w:color w:val="000000" w:themeColor="text1"/>
        </w:rPr>
        <w:t xml:space="preserve">, although some </w:t>
      </w:r>
      <w:r w:rsidR="60069296" w:rsidRPr="2589F76D">
        <w:rPr>
          <w:color w:val="000000" w:themeColor="text1"/>
        </w:rPr>
        <w:lastRenderedPageBreak/>
        <w:t xml:space="preserve">contributions are sought for </w:t>
      </w:r>
      <w:r w:rsidR="58901F24" w:rsidRPr="2589F76D">
        <w:rPr>
          <w:color w:val="000000" w:themeColor="text1"/>
        </w:rPr>
        <w:t xml:space="preserve">specific items of </w:t>
      </w:r>
      <w:r w:rsidR="60069296" w:rsidRPr="2589F76D">
        <w:rPr>
          <w:color w:val="000000" w:themeColor="text1"/>
        </w:rPr>
        <w:t>infrastructure</w:t>
      </w:r>
      <w:r w:rsidR="00BB33A5">
        <w:rPr>
          <w:color w:val="000000" w:themeColor="text1"/>
        </w:rPr>
        <w:t>, such as for the Cowley Branch Line</w:t>
      </w:r>
      <w:r w:rsidR="5450370A" w:rsidRPr="2589F76D">
        <w:rPr>
          <w:color w:val="000000" w:themeColor="text1"/>
        </w:rPr>
        <w:t>.</w:t>
      </w:r>
    </w:p>
    <w:p w14:paraId="2A6A8CE9" w14:textId="7510E7CC" w:rsidR="375B2BC6" w:rsidRDefault="375B2BC6" w:rsidP="2589F76D">
      <w:pPr>
        <w:pStyle w:val="bParagraphtext"/>
        <w:spacing w:line="259" w:lineRule="auto"/>
        <w:rPr>
          <w:color w:val="000000" w:themeColor="text1"/>
        </w:rPr>
      </w:pPr>
      <w:r w:rsidRPr="2589F76D">
        <w:rPr>
          <w:color w:val="000000" w:themeColor="text1"/>
        </w:rPr>
        <w:t xml:space="preserve">As such, there is no S106 ‘pot’ </w:t>
      </w:r>
      <w:r w:rsidR="403100F6" w:rsidRPr="2589F76D">
        <w:rPr>
          <w:color w:val="000000" w:themeColor="text1"/>
        </w:rPr>
        <w:t xml:space="preserve">which accumulates </w:t>
      </w:r>
      <w:r w:rsidRPr="2589F76D">
        <w:rPr>
          <w:color w:val="000000" w:themeColor="text1"/>
        </w:rPr>
        <w:t>as for CIL contributions; all allocations of S106 money are specified</w:t>
      </w:r>
      <w:r w:rsidR="3A4606D2" w:rsidRPr="2589F76D">
        <w:rPr>
          <w:color w:val="000000" w:themeColor="text1"/>
        </w:rPr>
        <w:t xml:space="preserve"> with</w:t>
      </w:r>
      <w:r w:rsidRPr="2589F76D">
        <w:rPr>
          <w:color w:val="000000" w:themeColor="text1"/>
        </w:rPr>
        <w:t>in the legal agreement.</w:t>
      </w:r>
      <w:r w:rsidR="5450370A" w:rsidRPr="2589F76D">
        <w:rPr>
          <w:color w:val="000000" w:themeColor="text1"/>
        </w:rPr>
        <w:t xml:space="preserve"> </w:t>
      </w:r>
      <w:r w:rsidR="00BB33A5">
        <w:rPr>
          <w:color w:val="000000" w:themeColor="text1"/>
        </w:rPr>
        <w:t>The one exception to this is Affordable Housing payments that cover the whole city, as it is not usually possible to identify future AH sites in advance.</w:t>
      </w:r>
      <w:r w:rsidR="5450370A" w:rsidRPr="2589F76D">
        <w:rPr>
          <w:color w:val="000000" w:themeColor="text1"/>
        </w:rPr>
        <w:t xml:space="preserve"> </w:t>
      </w:r>
      <w:r w:rsidR="5A65109A" w:rsidRPr="2589F76D">
        <w:rPr>
          <w:color w:val="000000" w:themeColor="text1"/>
        </w:rPr>
        <w:t xml:space="preserve"> </w:t>
      </w:r>
    </w:p>
    <w:p w14:paraId="1A851B22" w14:textId="0469FD2B" w:rsidR="74AAC9BB" w:rsidRDefault="74AAC9BB" w:rsidP="388F6ADE">
      <w:pPr>
        <w:pStyle w:val="bParagraphtext"/>
        <w:numPr>
          <w:ilvl w:val="0"/>
          <w:numId w:val="0"/>
        </w:numPr>
        <w:spacing w:line="259" w:lineRule="auto"/>
        <w:rPr>
          <w:color w:val="000000" w:themeColor="text1"/>
        </w:rPr>
      </w:pPr>
      <w:r w:rsidRPr="388F6ADE">
        <w:rPr>
          <w:color w:val="000000" w:themeColor="text1"/>
        </w:rPr>
        <w:t xml:space="preserve">The </w:t>
      </w:r>
      <w:r w:rsidR="00D40A38" w:rsidRPr="388F6ADE">
        <w:rPr>
          <w:color w:val="000000" w:themeColor="text1"/>
        </w:rPr>
        <w:t>c</w:t>
      </w:r>
      <w:r w:rsidRPr="388F6ADE">
        <w:rPr>
          <w:color w:val="000000" w:themeColor="text1"/>
        </w:rPr>
        <w:t>ontribution</w:t>
      </w:r>
      <w:r w:rsidR="00D40A38" w:rsidRPr="388F6ADE">
        <w:rPr>
          <w:color w:val="000000" w:themeColor="text1"/>
        </w:rPr>
        <w:t>s</w:t>
      </w:r>
      <w:r w:rsidR="5450370A" w:rsidRPr="388F6ADE">
        <w:rPr>
          <w:color w:val="000000" w:themeColor="text1"/>
        </w:rPr>
        <w:t xml:space="preserve"> </w:t>
      </w:r>
      <w:r w:rsidR="00D40A38" w:rsidRPr="388F6ADE">
        <w:rPr>
          <w:color w:val="000000" w:themeColor="text1"/>
        </w:rPr>
        <w:t>are</w:t>
      </w:r>
      <w:r w:rsidR="2862B3B6" w:rsidRPr="388F6ADE">
        <w:rPr>
          <w:color w:val="000000" w:themeColor="text1"/>
        </w:rPr>
        <w:t xml:space="preserve"> paid by developers</w:t>
      </w:r>
      <w:r w:rsidR="5450370A" w:rsidRPr="388F6ADE">
        <w:rPr>
          <w:color w:val="000000" w:themeColor="text1"/>
        </w:rPr>
        <w:t xml:space="preserve"> </w:t>
      </w:r>
      <w:r w:rsidR="55B79908" w:rsidRPr="388F6ADE">
        <w:rPr>
          <w:color w:val="000000" w:themeColor="text1"/>
        </w:rPr>
        <w:t>when the</w:t>
      </w:r>
      <w:r w:rsidR="5450370A" w:rsidRPr="388F6ADE">
        <w:rPr>
          <w:color w:val="000000" w:themeColor="text1"/>
        </w:rPr>
        <w:t xml:space="preserve"> trigger point</w:t>
      </w:r>
      <w:r w:rsidR="3FE72737" w:rsidRPr="388F6ADE">
        <w:rPr>
          <w:color w:val="000000" w:themeColor="text1"/>
        </w:rPr>
        <w:t xml:space="preserve"> conditions are met</w:t>
      </w:r>
      <w:r w:rsidR="00E75A7F" w:rsidRPr="388F6ADE">
        <w:rPr>
          <w:color w:val="000000" w:themeColor="text1"/>
        </w:rPr>
        <w:t>, with an index</w:t>
      </w:r>
      <w:r w:rsidR="5327FB31" w:rsidRPr="388F6ADE">
        <w:rPr>
          <w:color w:val="000000" w:themeColor="text1"/>
        </w:rPr>
        <w:t xml:space="preserve">-linked </w:t>
      </w:r>
      <w:r w:rsidR="00E75A7F" w:rsidRPr="388F6ADE">
        <w:rPr>
          <w:color w:val="000000" w:themeColor="text1"/>
        </w:rPr>
        <w:t>interest applied if appropriate</w:t>
      </w:r>
      <w:r w:rsidR="3FE72737" w:rsidRPr="388F6ADE">
        <w:rPr>
          <w:color w:val="000000" w:themeColor="text1"/>
        </w:rPr>
        <w:t xml:space="preserve">. The </w:t>
      </w:r>
      <w:r w:rsidR="47B441AE" w:rsidRPr="388F6ADE">
        <w:rPr>
          <w:color w:val="000000" w:themeColor="text1"/>
        </w:rPr>
        <w:t>contribution</w:t>
      </w:r>
      <w:r w:rsidR="3FE72737" w:rsidRPr="388F6ADE">
        <w:rPr>
          <w:color w:val="000000" w:themeColor="text1"/>
        </w:rPr>
        <w:t xml:space="preserve"> is</w:t>
      </w:r>
      <w:r w:rsidR="5450370A" w:rsidRPr="388F6ADE">
        <w:rPr>
          <w:color w:val="000000" w:themeColor="text1"/>
        </w:rPr>
        <w:t xml:space="preserve"> </w:t>
      </w:r>
      <w:r w:rsidR="1E61DF59" w:rsidRPr="388F6ADE">
        <w:rPr>
          <w:color w:val="000000" w:themeColor="text1"/>
        </w:rPr>
        <w:t>then</w:t>
      </w:r>
      <w:r w:rsidR="5450370A" w:rsidRPr="388F6ADE">
        <w:rPr>
          <w:color w:val="000000" w:themeColor="text1"/>
        </w:rPr>
        <w:t xml:space="preserve"> held internally</w:t>
      </w:r>
      <w:r w:rsidR="5DD21AAD" w:rsidRPr="388F6ADE">
        <w:rPr>
          <w:color w:val="000000" w:themeColor="text1"/>
        </w:rPr>
        <w:t xml:space="preserve"> within the Council</w:t>
      </w:r>
      <w:r w:rsidR="5450370A" w:rsidRPr="388F6ADE">
        <w:rPr>
          <w:color w:val="000000" w:themeColor="text1"/>
        </w:rPr>
        <w:t xml:space="preserve"> and</w:t>
      </w:r>
      <w:r w:rsidR="1F0712BE" w:rsidRPr="388F6ADE">
        <w:rPr>
          <w:color w:val="000000" w:themeColor="text1"/>
        </w:rPr>
        <w:t xml:space="preserve"> relevant</w:t>
      </w:r>
      <w:r w:rsidR="5450370A" w:rsidRPr="388F6ADE">
        <w:rPr>
          <w:color w:val="000000" w:themeColor="text1"/>
        </w:rPr>
        <w:t xml:space="preserve"> departments within the council</w:t>
      </w:r>
      <w:r w:rsidR="2D53FDBF" w:rsidRPr="388F6ADE">
        <w:rPr>
          <w:color w:val="000000" w:themeColor="text1"/>
        </w:rPr>
        <w:t xml:space="preserve"> are notified</w:t>
      </w:r>
      <w:r w:rsidR="5450370A" w:rsidRPr="388F6ADE">
        <w:rPr>
          <w:color w:val="000000" w:themeColor="text1"/>
        </w:rPr>
        <w:t xml:space="preserve"> </w:t>
      </w:r>
      <w:r w:rsidR="7C569092" w:rsidRPr="388F6ADE">
        <w:rPr>
          <w:color w:val="000000" w:themeColor="text1"/>
        </w:rPr>
        <w:t>when</w:t>
      </w:r>
      <w:r w:rsidR="6189F3B5" w:rsidRPr="388F6ADE">
        <w:rPr>
          <w:color w:val="000000" w:themeColor="text1"/>
        </w:rPr>
        <w:t xml:space="preserve"> the contribution has been collected</w:t>
      </w:r>
      <w:r w:rsidR="5450370A" w:rsidRPr="388F6ADE">
        <w:rPr>
          <w:color w:val="000000" w:themeColor="text1"/>
        </w:rPr>
        <w:t>.</w:t>
      </w:r>
    </w:p>
    <w:p w14:paraId="19FD2859" w14:textId="54EB2AB7" w:rsidR="318E0815" w:rsidRDefault="318E0815" w:rsidP="2589F76D">
      <w:pPr>
        <w:pStyle w:val="bParagraphtext"/>
        <w:spacing w:line="259" w:lineRule="auto"/>
        <w:rPr>
          <w:color w:val="000000" w:themeColor="text1"/>
        </w:rPr>
      </w:pPr>
      <w:r w:rsidRPr="2589F76D">
        <w:rPr>
          <w:color w:val="000000" w:themeColor="text1"/>
        </w:rPr>
        <w:t>All S106 legal agreements are monitored by the CIL and Data Analysis team to record</w:t>
      </w:r>
      <w:r w:rsidR="01ADC71F" w:rsidRPr="2589F76D">
        <w:rPr>
          <w:color w:val="000000" w:themeColor="text1"/>
        </w:rPr>
        <w:t xml:space="preserve"> </w:t>
      </w:r>
      <w:r w:rsidRPr="2589F76D">
        <w:rPr>
          <w:color w:val="000000" w:themeColor="text1"/>
        </w:rPr>
        <w:t xml:space="preserve">when trigger points have been met and </w:t>
      </w:r>
      <w:r w:rsidR="30C4D88E" w:rsidRPr="2589F76D">
        <w:rPr>
          <w:color w:val="000000" w:themeColor="text1"/>
        </w:rPr>
        <w:t xml:space="preserve">when </w:t>
      </w:r>
      <w:r w:rsidRPr="2589F76D">
        <w:rPr>
          <w:color w:val="000000" w:themeColor="text1"/>
        </w:rPr>
        <w:t>payments have been received or transferred.</w:t>
      </w:r>
    </w:p>
    <w:p w14:paraId="1B9EA521" w14:textId="1A537987" w:rsidR="5450370A" w:rsidRDefault="5450370A" w:rsidP="2589F76D">
      <w:pPr>
        <w:pStyle w:val="bParagraphtext"/>
        <w:spacing w:line="259" w:lineRule="auto"/>
        <w:rPr>
          <w:color w:val="000000" w:themeColor="text1"/>
        </w:rPr>
      </w:pPr>
      <w:r w:rsidRPr="2589F76D">
        <w:rPr>
          <w:color w:val="000000" w:themeColor="text1"/>
        </w:rPr>
        <w:t xml:space="preserve">Once </w:t>
      </w:r>
      <w:r w:rsidR="09CBAC89" w:rsidRPr="2589F76D">
        <w:rPr>
          <w:color w:val="000000" w:themeColor="text1"/>
        </w:rPr>
        <w:t>the</w:t>
      </w:r>
      <w:r w:rsidRPr="2589F76D">
        <w:rPr>
          <w:color w:val="000000" w:themeColor="text1"/>
        </w:rPr>
        <w:t xml:space="preserve"> project </w:t>
      </w:r>
      <w:r w:rsidR="20F1E489" w:rsidRPr="2589F76D">
        <w:rPr>
          <w:color w:val="000000" w:themeColor="text1"/>
        </w:rPr>
        <w:t xml:space="preserve">that the S106 money has been allocated to </w:t>
      </w:r>
      <w:r w:rsidRPr="2589F76D">
        <w:rPr>
          <w:color w:val="000000" w:themeColor="text1"/>
        </w:rPr>
        <w:t xml:space="preserve">is </w:t>
      </w:r>
      <w:r w:rsidR="13C0DB4F" w:rsidRPr="2589F76D">
        <w:rPr>
          <w:color w:val="000000" w:themeColor="text1"/>
        </w:rPr>
        <w:t>ready</w:t>
      </w:r>
      <w:r w:rsidRPr="2589F76D">
        <w:rPr>
          <w:color w:val="000000" w:themeColor="text1"/>
        </w:rPr>
        <w:t xml:space="preserve">, the money is internally transferred across to the relevant department for </w:t>
      </w:r>
      <w:r w:rsidR="0733CC5D" w:rsidRPr="2589F76D">
        <w:rPr>
          <w:color w:val="000000" w:themeColor="text1"/>
        </w:rPr>
        <w:t>expenditure</w:t>
      </w:r>
      <w:r w:rsidRPr="2589F76D">
        <w:rPr>
          <w:color w:val="000000" w:themeColor="text1"/>
        </w:rPr>
        <w:t xml:space="preserve">. </w:t>
      </w:r>
    </w:p>
    <w:p w14:paraId="6C6433EC" w14:textId="1F204BCC" w:rsidR="5450370A" w:rsidRDefault="5450370A" w:rsidP="2589F76D">
      <w:pPr>
        <w:pStyle w:val="bParagraphtext"/>
        <w:numPr>
          <w:ilvl w:val="0"/>
          <w:numId w:val="0"/>
        </w:numPr>
        <w:spacing w:line="259" w:lineRule="auto"/>
        <w:rPr>
          <w:b/>
          <w:bCs/>
          <w:color w:val="000000" w:themeColor="text1"/>
        </w:rPr>
      </w:pPr>
      <w:r w:rsidRPr="0B00413E">
        <w:rPr>
          <w:b/>
          <w:bCs/>
          <w:color w:val="000000" w:themeColor="text1"/>
        </w:rPr>
        <w:t xml:space="preserve">Infrastructure </w:t>
      </w:r>
      <w:r w:rsidR="4DCEEAE9" w:rsidRPr="0B00413E">
        <w:rPr>
          <w:b/>
          <w:bCs/>
          <w:color w:val="000000" w:themeColor="text1"/>
        </w:rPr>
        <w:t>F</w:t>
      </w:r>
      <w:r w:rsidRPr="0B00413E">
        <w:rPr>
          <w:b/>
          <w:bCs/>
          <w:color w:val="000000" w:themeColor="text1"/>
        </w:rPr>
        <w:t xml:space="preserve">unding </w:t>
      </w:r>
      <w:r w:rsidR="74C8B588" w:rsidRPr="0B00413E">
        <w:rPr>
          <w:b/>
          <w:bCs/>
          <w:color w:val="000000" w:themeColor="text1"/>
        </w:rPr>
        <w:t>S</w:t>
      </w:r>
      <w:r w:rsidRPr="0B00413E">
        <w:rPr>
          <w:b/>
          <w:bCs/>
          <w:color w:val="000000" w:themeColor="text1"/>
        </w:rPr>
        <w:t>tatement</w:t>
      </w:r>
    </w:p>
    <w:p w14:paraId="2A5FD62C" w14:textId="5603339F" w:rsidR="5450370A" w:rsidRDefault="5450370A" w:rsidP="2589F76D">
      <w:pPr>
        <w:pStyle w:val="bParagraphtext"/>
        <w:spacing w:line="259" w:lineRule="auto"/>
        <w:rPr>
          <w:color w:val="000000" w:themeColor="text1"/>
        </w:rPr>
      </w:pPr>
      <w:r w:rsidRPr="0B00413E">
        <w:rPr>
          <w:color w:val="000000" w:themeColor="text1"/>
        </w:rPr>
        <w:t>Each year, all CIL and S106 income, expenditure and allocation is reported in the council’s annual Infrastructure Funding Statement</w:t>
      </w:r>
      <w:r w:rsidR="186057EF" w:rsidRPr="0B00413E">
        <w:rPr>
          <w:color w:val="000000" w:themeColor="text1"/>
        </w:rPr>
        <w:t>, the most recent is attached as Appendix 1</w:t>
      </w:r>
      <w:r w:rsidRPr="0B00413E">
        <w:rPr>
          <w:color w:val="000000" w:themeColor="text1"/>
        </w:rPr>
        <w:t>.</w:t>
      </w:r>
    </w:p>
    <w:p w14:paraId="5BCE7B0A" w14:textId="025147F5" w:rsidR="00C85B4E" w:rsidRDefault="00C85B4E" w:rsidP="2589F76D">
      <w:pPr>
        <w:pStyle w:val="Bulletpoints"/>
        <w:numPr>
          <w:ilvl w:val="0"/>
          <w:numId w:val="0"/>
        </w:numPr>
        <w:rPr>
          <w:b/>
          <w:bCs/>
          <w:color w:val="000000" w:themeColor="text1"/>
        </w:rPr>
      </w:pPr>
      <w:r w:rsidRPr="2589F76D">
        <w:rPr>
          <w:b/>
          <w:bCs/>
          <w:color w:val="000000" w:themeColor="text1"/>
        </w:rPr>
        <w:t>E</w:t>
      </w:r>
      <w:r w:rsidR="00E87F7A" w:rsidRPr="2589F76D">
        <w:rPr>
          <w:b/>
          <w:bCs/>
          <w:color w:val="000000" w:themeColor="text1"/>
        </w:rPr>
        <w:t xml:space="preserve">nvironmental </w:t>
      </w:r>
      <w:r w:rsidR="32D64358" w:rsidRPr="2589F76D">
        <w:rPr>
          <w:b/>
          <w:bCs/>
          <w:color w:val="000000" w:themeColor="text1"/>
        </w:rPr>
        <w:t>and sustainability implications</w:t>
      </w:r>
    </w:p>
    <w:p w14:paraId="4FDF4D89" w14:textId="50161039" w:rsidR="219EE3AB" w:rsidRDefault="219EE3AB" w:rsidP="2589F76D">
      <w:pPr>
        <w:pStyle w:val="Bulletpoints"/>
        <w:rPr>
          <w:color w:val="000000" w:themeColor="text1"/>
        </w:rPr>
      </w:pPr>
      <w:r w:rsidRPr="2589F76D">
        <w:rPr>
          <w:color w:val="000000" w:themeColor="text1"/>
        </w:rPr>
        <w:t>Developer contributions such as CIL and S106 are designed</w:t>
      </w:r>
      <w:r w:rsidR="0ECE7770" w:rsidRPr="2589F76D">
        <w:rPr>
          <w:color w:val="000000" w:themeColor="text1"/>
        </w:rPr>
        <w:t xml:space="preserve"> with sustainability in mind</w:t>
      </w:r>
      <w:r w:rsidRPr="2589F76D">
        <w:rPr>
          <w:color w:val="000000" w:themeColor="text1"/>
        </w:rPr>
        <w:t xml:space="preserve"> to offset the impact of development by taking contributions towards infrastructure and affordable housing. This includes </w:t>
      </w:r>
      <w:r w:rsidR="29FE62E8" w:rsidRPr="2589F76D">
        <w:rPr>
          <w:color w:val="000000" w:themeColor="text1"/>
        </w:rPr>
        <w:t>green and blue infrastructure.</w:t>
      </w:r>
      <w:r w:rsidRPr="2589F76D">
        <w:rPr>
          <w:color w:val="000000" w:themeColor="text1"/>
        </w:rPr>
        <w:t xml:space="preserve"> </w:t>
      </w:r>
    </w:p>
    <w:p w14:paraId="4760BAF3" w14:textId="77777777" w:rsidR="0040736F" w:rsidRPr="001356F1" w:rsidRDefault="002329CF" w:rsidP="2589F76D">
      <w:pPr>
        <w:pStyle w:val="Heading1"/>
        <w:rPr>
          <w:color w:val="000000" w:themeColor="text1"/>
        </w:rPr>
      </w:pPr>
      <w:r w:rsidRPr="2589F76D">
        <w:rPr>
          <w:color w:val="000000" w:themeColor="text1"/>
        </w:rPr>
        <w:t>Financial implications</w:t>
      </w:r>
    </w:p>
    <w:p w14:paraId="256FC8C4" w14:textId="72722CB0" w:rsidR="5DD2204E" w:rsidRDefault="5DD2204E" w:rsidP="2589F76D">
      <w:pPr>
        <w:pStyle w:val="ListParagraph"/>
        <w:spacing w:line="259" w:lineRule="auto"/>
        <w:rPr>
          <w:color w:val="000000" w:themeColor="text1"/>
        </w:rPr>
      </w:pPr>
      <w:r w:rsidRPr="2589F76D">
        <w:rPr>
          <w:color w:val="000000" w:themeColor="text1"/>
        </w:rPr>
        <w:t>Income is generated from CIL and S106 contributions to pay for infrastructure and affordable housing.</w:t>
      </w:r>
    </w:p>
    <w:p w14:paraId="068D2010" w14:textId="77777777" w:rsidR="0040736F" w:rsidRPr="001356F1" w:rsidRDefault="00DA614B" w:rsidP="2589F76D">
      <w:pPr>
        <w:pStyle w:val="Heading1"/>
        <w:rPr>
          <w:color w:val="000000" w:themeColor="text1"/>
        </w:rPr>
      </w:pPr>
      <w:r w:rsidRPr="2589F76D">
        <w:rPr>
          <w:color w:val="000000" w:themeColor="text1"/>
        </w:rPr>
        <w:t>Legal issues</w:t>
      </w:r>
    </w:p>
    <w:p w14:paraId="13A2A309" w14:textId="00D28967" w:rsidR="2C74E251" w:rsidRDefault="2C74E251" w:rsidP="2589F76D">
      <w:pPr>
        <w:pStyle w:val="ListParagraph"/>
        <w:spacing w:line="259" w:lineRule="auto"/>
        <w:rPr>
          <w:color w:val="000000" w:themeColor="text1"/>
        </w:rPr>
      </w:pPr>
      <w:r w:rsidRPr="2589F76D">
        <w:rPr>
          <w:color w:val="000000" w:themeColor="text1"/>
        </w:rPr>
        <w:t xml:space="preserve">CIL is administered </w:t>
      </w:r>
      <w:r w:rsidR="00D40A38">
        <w:rPr>
          <w:color w:val="000000" w:themeColor="text1"/>
        </w:rPr>
        <w:t>according to</w:t>
      </w:r>
      <w:r w:rsidRPr="2589F76D">
        <w:rPr>
          <w:color w:val="000000" w:themeColor="text1"/>
        </w:rPr>
        <w:t xml:space="preserve"> the CIL regulations (as amended)</w:t>
      </w:r>
      <w:r w:rsidR="00630622">
        <w:rPr>
          <w:color w:val="000000" w:themeColor="text1"/>
        </w:rPr>
        <w:t xml:space="preserve"> and section 106 agreements are drawn up in accordance with the relevant legislation</w:t>
      </w:r>
      <w:r w:rsidRPr="2589F76D">
        <w:rPr>
          <w:color w:val="000000" w:themeColor="text1"/>
        </w:rPr>
        <w:t>.</w:t>
      </w:r>
    </w:p>
    <w:p w14:paraId="48380DA8" w14:textId="4E66FAB7" w:rsidR="2589F76D" w:rsidRDefault="2589F76D" w:rsidP="2589F76D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5BF0CD17" w14:textId="77777777" w:rsidTr="0B00413E">
        <w:trPr>
          <w:cantSplit/>
          <w:trHeight w:val="396"/>
        </w:trPr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</w:tcPr>
          <w:p w14:paraId="73198060" w14:textId="77777777" w:rsidR="00E87F7A" w:rsidRPr="001356F1" w:rsidRDefault="00E87F7A" w:rsidP="2589F76D">
            <w:pPr>
              <w:rPr>
                <w:b/>
                <w:bCs/>
                <w:color w:val="000000" w:themeColor="text1"/>
              </w:rPr>
            </w:pPr>
            <w:r w:rsidRPr="2589F76D">
              <w:rPr>
                <w:b/>
                <w:bCs/>
                <w:color w:val="000000" w:themeColor="text1"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E31750F" w14:textId="687F484C" w:rsidR="00E87F7A" w:rsidRPr="001356F1" w:rsidRDefault="2396FFE6" w:rsidP="0B00413E">
            <w:pPr>
              <w:spacing w:line="259" w:lineRule="auto"/>
            </w:pPr>
            <w:r w:rsidRPr="0B00413E">
              <w:rPr>
                <w:color w:val="000000" w:themeColor="text1"/>
              </w:rPr>
              <w:t>David Butler</w:t>
            </w:r>
          </w:p>
        </w:tc>
      </w:tr>
      <w:tr w:rsidR="00DF093E" w:rsidRPr="001356F1" w14:paraId="6B0A6EF0" w14:textId="77777777" w:rsidTr="0B00413E">
        <w:trPr>
          <w:cantSplit/>
          <w:trHeight w:val="396"/>
        </w:trPr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shd w:val="clear" w:color="auto" w:fill="auto"/>
          </w:tcPr>
          <w:p w14:paraId="5F4D2911" w14:textId="77777777" w:rsidR="00E87F7A" w:rsidRPr="001356F1" w:rsidRDefault="00E87F7A" w:rsidP="2589F76D">
            <w:pPr>
              <w:rPr>
                <w:color w:val="000000" w:themeColor="text1"/>
              </w:rPr>
            </w:pPr>
            <w:r w:rsidRPr="2589F76D">
              <w:rPr>
                <w:color w:val="000000" w:themeColor="text1"/>
              </w:rPr>
              <w:t>Job title</w:t>
            </w:r>
          </w:p>
        </w:tc>
        <w:tc>
          <w:tcPr>
            <w:tcW w:w="4962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shd w:val="clear" w:color="auto" w:fill="auto"/>
          </w:tcPr>
          <w:p w14:paraId="3CD7924F" w14:textId="67C9F522" w:rsidR="00E87F7A" w:rsidRPr="001356F1" w:rsidRDefault="79DADF97" w:rsidP="0B00413E">
            <w:pPr>
              <w:spacing w:line="259" w:lineRule="auto"/>
            </w:pPr>
            <w:r w:rsidRPr="0B00413E">
              <w:rPr>
                <w:color w:val="000000" w:themeColor="text1"/>
              </w:rPr>
              <w:t>Head of Planning &amp; Regulatory Services</w:t>
            </w:r>
          </w:p>
        </w:tc>
      </w:tr>
      <w:tr w:rsidR="00DF093E" w:rsidRPr="001356F1" w14:paraId="5E493E5C" w14:textId="77777777" w:rsidTr="0B00413E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</w:tcPr>
          <w:p w14:paraId="43A2E07F" w14:textId="77777777" w:rsidR="00E87F7A" w:rsidRPr="001356F1" w:rsidRDefault="00E87F7A" w:rsidP="2589F76D">
            <w:pPr>
              <w:rPr>
                <w:color w:val="000000" w:themeColor="text1"/>
              </w:rPr>
            </w:pPr>
            <w:r w:rsidRPr="2589F76D">
              <w:rPr>
                <w:color w:val="000000" w:themeColor="text1"/>
              </w:rPr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</w:tcPr>
          <w:p w14:paraId="5B5AA423" w14:textId="28B2A6C4" w:rsidR="00E87F7A" w:rsidRPr="001356F1" w:rsidRDefault="76FEE390" w:rsidP="0B00413E">
            <w:pPr>
              <w:spacing w:line="259" w:lineRule="auto"/>
              <w:rPr>
                <w:color w:val="000000" w:themeColor="text1"/>
              </w:rPr>
            </w:pPr>
            <w:r w:rsidRPr="0B00413E">
              <w:rPr>
                <w:color w:val="000000" w:themeColor="text1"/>
              </w:rPr>
              <w:t xml:space="preserve">Planning </w:t>
            </w:r>
            <w:r w:rsidR="7C88BCE1" w:rsidRPr="0B00413E">
              <w:rPr>
                <w:color w:val="000000" w:themeColor="text1"/>
              </w:rPr>
              <w:t>&amp; Regulatory Services</w:t>
            </w:r>
          </w:p>
        </w:tc>
      </w:tr>
      <w:tr w:rsidR="00DF093E" w:rsidRPr="001356F1" w14:paraId="6A37E6CF" w14:textId="77777777" w:rsidTr="0B00413E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</w:tcPr>
          <w:p w14:paraId="25120248" w14:textId="77777777" w:rsidR="00E87F7A" w:rsidRPr="001356F1" w:rsidRDefault="00E87F7A" w:rsidP="2589F76D">
            <w:pPr>
              <w:rPr>
                <w:color w:val="000000" w:themeColor="text1"/>
              </w:rPr>
            </w:pPr>
            <w:r w:rsidRPr="2589F76D">
              <w:rPr>
                <w:color w:val="000000" w:themeColor="text1"/>
              </w:rPr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</w:tcPr>
          <w:p w14:paraId="542F1F02" w14:textId="291B9FBC" w:rsidR="00E87F7A" w:rsidRPr="001356F1" w:rsidRDefault="00E87F7A" w:rsidP="2589F76D">
            <w:pPr>
              <w:rPr>
                <w:color w:val="000000" w:themeColor="text1"/>
              </w:rPr>
            </w:pPr>
            <w:r w:rsidRPr="0B00413E">
              <w:rPr>
                <w:color w:val="000000" w:themeColor="text1"/>
              </w:rPr>
              <w:t xml:space="preserve">01865 </w:t>
            </w:r>
            <w:r w:rsidR="184F3926" w:rsidRPr="0B00413E">
              <w:rPr>
                <w:color w:val="000000" w:themeColor="text1"/>
              </w:rPr>
              <w:t>529067</w:t>
            </w:r>
            <w:r w:rsidRPr="0B00413E">
              <w:rPr>
                <w:color w:val="000000" w:themeColor="text1"/>
              </w:rPr>
              <w:t xml:space="preserve"> </w:t>
            </w:r>
          </w:p>
        </w:tc>
      </w:tr>
      <w:tr w:rsidR="005570B5" w:rsidRPr="001356F1" w14:paraId="3F9B037F" w14:textId="77777777" w:rsidTr="0B00413E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</w:tcPr>
          <w:p w14:paraId="6E4D56DD" w14:textId="77777777" w:rsidR="00E87F7A" w:rsidRPr="001356F1" w:rsidRDefault="00E87F7A" w:rsidP="2589F76D">
            <w:pPr>
              <w:rPr>
                <w:color w:val="000000" w:themeColor="text1"/>
              </w:rPr>
            </w:pPr>
            <w:r w:rsidRPr="2589F76D">
              <w:rPr>
                <w:color w:val="000000" w:themeColor="text1"/>
              </w:rPr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A779854" w14:textId="5CD15E7B" w:rsidR="00E87F7A" w:rsidRPr="001356F1" w:rsidRDefault="7FFBEA73" w:rsidP="0B00413E">
            <w:r>
              <w:t>Dbutler@oxford.gov.uk</w:t>
            </w:r>
          </w:p>
        </w:tc>
      </w:tr>
    </w:tbl>
    <w:p w14:paraId="6A05A809" w14:textId="77777777" w:rsidR="00433B96" w:rsidRPr="001356F1" w:rsidRDefault="00433B96" w:rsidP="2589F76D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14:paraId="206E369A" w14:textId="77777777" w:rsidTr="2589F76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14:paraId="367B5BC8" w14:textId="77777777" w:rsidR="0093067A" w:rsidRPr="001356F1" w:rsidRDefault="4348065B" w:rsidP="2589F76D">
            <w:pPr>
              <w:rPr>
                <w:rStyle w:val="Firstpagetablebold"/>
                <w:b w:val="0"/>
                <w:color w:val="000000" w:themeColor="text1"/>
              </w:rPr>
            </w:pPr>
            <w:r w:rsidRPr="2589F76D">
              <w:rPr>
                <w:rStyle w:val="Firstpagetablebold"/>
                <w:color w:val="000000" w:themeColor="text1"/>
              </w:rPr>
              <w:t xml:space="preserve">Background Papers: </w:t>
            </w:r>
            <w:r w:rsidRPr="2589F76D">
              <w:rPr>
                <w:rStyle w:val="Firstpagetablebold"/>
                <w:b w:val="0"/>
                <w:color w:val="000000" w:themeColor="text1"/>
              </w:rPr>
              <w:t>None</w:t>
            </w:r>
          </w:p>
        </w:tc>
      </w:tr>
    </w:tbl>
    <w:p w14:paraId="45FB0818" w14:textId="77777777" w:rsidR="00821AAF" w:rsidRPr="009E51FC" w:rsidRDefault="00821AAF" w:rsidP="00621978">
      <w:pPr>
        <w:rPr>
          <w:color w:val="000000" w:themeColor="text1"/>
        </w:rPr>
      </w:pPr>
    </w:p>
    <w:sectPr w:rsidR="00821AAF" w:rsidRPr="009E51FC" w:rsidSect="00B558E1">
      <w:footerReference w:type="even" r:id="rId11"/>
      <w:headerReference w:type="first" r:id="rId12"/>
      <w:footerReference w:type="first" r:id="rId13"/>
      <w:pgSz w:w="11906" w:h="16838" w:code="9"/>
      <w:pgMar w:top="1304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FA026E" w:rsidRDefault="00FA026E" w:rsidP="004A6D2F">
      <w:r>
        <w:separator/>
      </w:r>
    </w:p>
  </w:endnote>
  <w:endnote w:type="continuationSeparator" w:id="0">
    <w:p w14:paraId="53128261" w14:textId="77777777" w:rsidR="00FA026E" w:rsidRDefault="00FA026E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CE2C" w14:textId="77777777" w:rsidR="00364FAD" w:rsidRDefault="00364FAD" w:rsidP="004A6D2F">
    <w:pPr>
      <w:pStyle w:val="Footer"/>
    </w:pPr>
    <w:r>
      <w:t>Do not use a footer or page numbers.</w:t>
    </w:r>
  </w:p>
  <w:p w14:paraId="1299C43A" w14:textId="77777777" w:rsidR="00364FAD" w:rsidRDefault="00364FAD" w:rsidP="004A6D2F">
    <w:pPr>
      <w:pStyle w:val="Footer"/>
    </w:pPr>
  </w:p>
  <w:p w14:paraId="4DDBEF00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4873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FA026E" w:rsidRDefault="00FA026E" w:rsidP="004A6D2F">
      <w:r>
        <w:separator/>
      </w:r>
    </w:p>
  </w:footnote>
  <w:footnote w:type="continuationSeparator" w:id="0">
    <w:p w14:paraId="4101652C" w14:textId="77777777" w:rsidR="00FA026E" w:rsidRDefault="00FA026E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D5547E" w:rsidRDefault="00DD2FED" w:rsidP="00D5547E">
    <w:pPr>
      <w:pStyle w:val="Header"/>
      <w:jc w:val="right"/>
    </w:pPr>
    <w:r>
      <w:rPr>
        <w:noProof/>
      </w:rPr>
      <w:drawing>
        <wp:inline distT="0" distB="0" distL="0" distR="0" wp14:anchorId="0A74FEE8" wp14:editId="07777777">
          <wp:extent cx="843280" cy="1117600"/>
          <wp:effectExtent l="0" t="0" r="0" b="6350"/>
          <wp:docPr id="1" name="Picture 1" descr="Oxford City Council Logo" title="Oxford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C05EF"/>
    <w:multiLevelType w:val="multilevel"/>
    <w:tmpl w:val="43D6D2FA"/>
    <w:numStyleLink w:val="StyleBulletedSymbolsymbolLeft063cmHanging063cm"/>
  </w:abstractNum>
  <w:abstractNum w:abstractNumId="13" w15:restartNumberingAfterBreak="0">
    <w:nsid w:val="07D09F7E"/>
    <w:multiLevelType w:val="hybridMultilevel"/>
    <w:tmpl w:val="7E2261C6"/>
    <w:lvl w:ilvl="0" w:tplc="6AC69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54D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A2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6B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E9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208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4C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A2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C0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9D39"/>
    <w:multiLevelType w:val="hybridMultilevel"/>
    <w:tmpl w:val="84786F8C"/>
    <w:lvl w:ilvl="0" w:tplc="CAC0A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A6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F6B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85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2E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20E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EC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28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CD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263A6A"/>
    <w:multiLevelType w:val="multilevel"/>
    <w:tmpl w:val="43D6D2FA"/>
    <w:numStyleLink w:val="StyleBulletedSymbolsymbolLeft063cmHanging063cm"/>
  </w:abstractNum>
  <w:abstractNum w:abstractNumId="20" w15:restartNumberingAfterBreak="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47D7E"/>
    <w:multiLevelType w:val="hybridMultilevel"/>
    <w:tmpl w:val="D1F8B838"/>
    <w:lvl w:ilvl="0" w:tplc="D31A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AE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46B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C6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AF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60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CD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2A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4EB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BA5FD8"/>
    <w:multiLevelType w:val="multilevel"/>
    <w:tmpl w:val="43D6D2FA"/>
    <w:numStyleLink w:val="StyleBulletedSymbolsymbolLeft063cmHanging063cm"/>
  </w:abstractNum>
  <w:abstractNum w:abstractNumId="30" w15:restartNumberingAfterBreak="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4933E"/>
    <w:multiLevelType w:val="hybridMultilevel"/>
    <w:tmpl w:val="B792C944"/>
    <w:lvl w:ilvl="0" w:tplc="DCAE7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64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2B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20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4F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E02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0A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8B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F29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22831"/>
    <w:multiLevelType w:val="multilevel"/>
    <w:tmpl w:val="43D6D2FA"/>
    <w:numStyleLink w:val="StyleBulletedSymbolsymbolLeft063cmHanging063cm"/>
  </w:abstractNum>
  <w:abstractNum w:abstractNumId="33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365C6"/>
    <w:multiLevelType w:val="hybridMultilevel"/>
    <w:tmpl w:val="E67CE66C"/>
    <w:numStyleLink w:val="StyleNumberedLeft0cmHanging075cm"/>
  </w:abstractNum>
  <w:num w:numId="1" w16cid:durableId="1255943858">
    <w:abstractNumId w:val="21"/>
  </w:num>
  <w:num w:numId="2" w16cid:durableId="909846340">
    <w:abstractNumId w:val="31"/>
  </w:num>
  <w:num w:numId="3" w16cid:durableId="1195313680">
    <w:abstractNumId w:val="13"/>
  </w:num>
  <w:num w:numId="4" w16cid:durableId="785349647">
    <w:abstractNumId w:val="16"/>
  </w:num>
  <w:num w:numId="5" w16cid:durableId="1373848226">
    <w:abstractNumId w:val="28"/>
  </w:num>
  <w:num w:numId="6" w16cid:durableId="1557207456">
    <w:abstractNumId w:val="34"/>
  </w:num>
  <w:num w:numId="7" w16cid:durableId="1046293672">
    <w:abstractNumId w:val="25"/>
  </w:num>
  <w:num w:numId="8" w16cid:durableId="1457720433">
    <w:abstractNumId w:val="20"/>
  </w:num>
  <w:num w:numId="9" w16cid:durableId="1715812270">
    <w:abstractNumId w:val="30"/>
  </w:num>
  <w:num w:numId="10" w16cid:durableId="194197297">
    <w:abstractNumId w:val="35"/>
  </w:num>
  <w:num w:numId="11" w16cid:durableId="2105955735">
    <w:abstractNumId w:val="24"/>
  </w:num>
  <w:num w:numId="12" w16cid:durableId="67266791">
    <w:abstractNumId w:val="22"/>
  </w:num>
  <w:num w:numId="13" w16cid:durableId="958419029">
    <w:abstractNumId w:val="14"/>
  </w:num>
  <w:num w:numId="14" w16cid:durableId="1585843757">
    <w:abstractNumId w:val="17"/>
  </w:num>
  <w:num w:numId="15" w16cid:durableId="291714416">
    <w:abstractNumId w:val="27"/>
  </w:num>
  <w:num w:numId="16" w16cid:durableId="851914477">
    <w:abstractNumId w:val="26"/>
  </w:num>
  <w:num w:numId="17" w16cid:durableId="781649449">
    <w:abstractNumId w:val="10"/>
  </w:num>
  <w:num w:numId="18" w16cid:durableId="1816094904">
    <w:abstractNumId w:val="36"/>
  </w:num>
  <w:num w:numId="19" w16cid:durableId="1327514402">
    <w:abstractNumId w:val="18"/>
  </w:num>
  <w:num w:numId="20" w16cid:durableId="1610505944">
    <w:abstractNumId w:val="11"/>
  </w:num>
  <w:num w:numId="21" w16cid:durableId="683941036">
    <w:abstractNumId w:val="29"/>
  </w:num>
  <w:num w:numId="22" w16cid:durableId="2095666094">
    <w:abstractNumId w:val="12"/>
  </w:num>
  <w:num w:numId="23" w16cid:durableId="1367677447">
    <w:abstractNumId w:val="32"/>
  </w:num>
  <w:num w:numId="24" w16cid:durableId="398476017">
    <w:abstractNumId w:val="19"/>
  </w:num>
  <w:num w:numId="25" w16cid:durableId="1479566669">
    <w:abstractNumId w:val="23"/>
  </w:num>
  <w:num w:numId="26" w16cid:durableId="996881529">
    <w:abstractNumId w:val="15"/>
  </w:num>
  <w:num w:numId="27" w16cid:durableId="294021876">
    <w:abstractNumId w:val="33"/>
  </w:num>
  <w:num w:numId="28" w16cid:durableId="339242149">
    <w:abstractNumId w:val="9"/>
  </w:num>
  <w:num w:numId="29" w16cid:durableId="1207568855">
    <w:abstractNumId w:val="8"/>
  </w:num>
  <w:num w:numId="30" w16cid:durableId="1820224873">
    <w:abstractNumId w:val="7"/>
  </w:num>
  <w:num w:numId="31" w16cid:durableId="1078285941">
    <w:abstractNumId w:val="6"/>
  </w:num>
  <w:num w:numId="32" w16cid:durableId="1534270033">
    <w:abstractNumId w:val="5"/>
  </w:num>
  <w:num w:numId="33" w16cid:durableId="105197760">
    <w:abstractNumId w:val="4"/>
  </w:num>
  <w:num w:numId="34" w16cid:durableId="201678671">
    <w:abstractNumId w:val="3"/>
  </w:num>
  <w:num w:numId="35" w16cid:durableId="975641590">
    <w:abstractNumId w:val="2"/>
  </w:num>
  <w:num w:numId="36" w16cid:durableId="174879642">
    <w:abstractNumId w:val="1"/>
  </w:num>
  <w:num w:numId="37" w16cid:durableId="178712049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92"/>
    <w:rsid w:val="000117D4"/>
    <w:rsid w:val="00045F8B"/>
    <w:rsid w:val="00046D2B"/>
    <w:rsid w:val="00056263"/>
    <w:rsid w:val="00064D8A"/>
    <w:rsid w:val="00064F82"/>
    <w:rsid w:val="00066510"/>
    <w:rsid w:val="00077523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3376"/>
    <w:rsid w:val="002069B3"/>
    <w:rsid w:val="002329CF"/>
    <w:rsid w:val="00232F5B"/>
    <w:rsid w:val="00247C29"/>
    <w:rsid w:val="00260467"/>
    <w:rsid w:val="00263EA3"/>
    <w:rsid w:val="00284F85"/>
    <w:rsid w:val="00290915"/>
    <w:rsid w:val="002A22E2"/>
    <w:rsid w:val="002C64F7"/>
    <w:rsid w:val="002F41F2"/>
    <w:rsid w:val="00301BF3"/>
    <w:rsid w:val="0030208D"/>
    <w:rsid w:val="00323418"/>
    <w:rsid w:val="003357BF"/>
    <w:rsid w:val="00364FAD"/>
    <w:rsid w:val="0036738F"/>
    <w:rsid w:val="0036759C"/>
    <w:rsid w:val="00367AE5"/>
    <w:rsid w:val="00367D71"/>
    <w:rsid w:val="0038150A"/>
    <w:rsid w:val="003B6E75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4A4D6"/>
    <w:rsid w:val="004521B7"/>
    <w:rsid w:val="00462AB5"/>
    <w:rsid w:val="00465EAF"/>
    <w:rsid w:val="004738C5"/>
    <w:rsid w:val="00491046"/>
    <w:rsid w:val="00496FAD"/>
    <w:rsid w:val="004A2AC7"/>
    <w:rsid w:val="004A5337"/>
    <w:rsid w:val="004A6D2F"/>
    <w:rsid w:val="004B348B"/>
    <w:rsid w:val="004C2887"/>
    <w:rsid w:val="004D2626"/>
    <w:rsid w:val="004D6E26"/>
    <w:rsid w:val="004D77D3"/>
    <w:rsid w:val="004E2959"/>
    <w:rsid w:val="004F20EF"/>
    <w:rsid w:val="0050321C"/>
    <w:rsid w:val="0054712D"/>
    <w:rsid w:val="00547EF6"/>
    <w:rsid w:val="005570B5"/>
    <w:rsid w:val="00567E18"/>
    <w:rsid w:val="00575F5F"/>
    <w:rsid w:val="00581805"/>
    <w:rsid w:val="00585F76"/>
    <w:rsid w:val="005A2220"/>
    <w:rsid w:val="005A34E4"/>
    <w:rsid w:val="005B17F2"/>
    <w:rsid w:val="005B7FB0"/>
    <w:rsid w:val="005C35A5"/>
    <w:rsid w:val="005C577C"/>
    <w:rsid w:val="005D0621"/>
    <w:rsid w:val="005D1E27"/>
    <w:rsid w:val="005E022E"/>
    <w:rsid w:val="005E5215"/>
    <w:rsid w:val="005F7F7E"/>
    <w:rsid w:val="00614693"/>
    <w:rsid w:val="00621978"/>
    <w:rsid w:val="00623C2F"/>
    <w:rsid w:val="00630622"/>
    <w:rsid w:val="00632A88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708A"/>
    <w:rsid w:val="006E14C1"/>
    <w:rsid w:val="006F0292"/>
    <w:rsid w:val="006F416B"/>
    <w:rsid w:val="006F519B"/>
    <w:rsid w:val="00713675"/>
    <w:rsid w:val="00715823"/>
    <w:rsid w:val="00737B93"/>
    <w:rsid w:val="00745BF0"/>
    <w:rsid w:val="007615FE"/>
    <w:rsid w:val="0076655C"/>
    <w:rsid w:val="007742DC"/>
    <w:rsid w:val="00791437"/>
    <w:rsid w:val="007B0C2C"/>
    <w:rsid w:val="007B278E"/>
    <w:rsid w:val="007C1201"/>
    <w:rsid w:val="007C5C23"/>
    <w:rsid w:val="007E2A26"/>
    <w:rsid w:val="007E32E7"/>
    <w:rsid w:val="007F2348"/>
    <w:rsid w:val="00803F07"/>
    <w:rsid w:val="0080749A"/>
    <w:rsid w:val="00821AAF"/>
    <w:rsid w:val="00821FB8"/>
    <w:rsid w:val="00822ACD"/>
    <w:rsid w:val="00855C66"/>
    <w:rsid w:val="00871EE4"/>
    <w:rsid w:val="008B293F"/>
    <w:rsid w:val="008B7371"/>
    <w:rsid w:val="008D3DDB"/>
    <w:rsid w:val="008F573F"/>
    <w:rsid w:val="009034EC"/>
    <w:rsid w:val="0093067A"/>
    <w:rsid w:val="00941C60"/>
    <w:rsid w:val="00966D42"/>
    <w:rsid w:val="00971689"/>
    <w:rsid w:val="00973E90"/>
    <w:rsid w:val="00975B07"/>
    <w:rsid w:val="00980B4A"/>
    <w:rsid w:val="0098226A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4635"/>
    <w:rsid w:val="00A46E98"/>
    <w:rsid w:val="00A6352B"/>
    <w:rsid w:val="00A701B5"/>
    <w:rsid w:val="00A714BB"/>
    <w:rsid w:val="00A92D8F"/>
    <w:rsid w:val="00AB2988"/>
    <w:rsid w:val="00AB7999"/>
    <w:rsid w:val="00AD3292"/>
    <w:rsid w:val="00AE7AF0"/>
    <w:rsid w:val="00B500CA"/>
    <w:rsid w:val="00B558E1"/>
    <w:rsid w:val="00B7799F"/>
    <w:rsid w:val="00B86314"/>
    <w:rsid w:val="00BA1C2E"/>
    <w:rsid w:val="00BB33A5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63C31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40A38"/>
    <w:rsid w:val="00D474CF"/>
    <w:rsid w:val="00D5547E"/>
    <w:rsid w:val="00D6683E"/>
    <w:rsid w:val="00D90A28"/>
    <w:rsid w:val="00DA413F"/>
    <w:rsid w:val="00DA4584"/>
    <w:rsid w:val="00DA614B"/>
    <w:rsid w:val="00DC3060"/>
    <w:rsid w:val="00DD2FED"/>
    <w:rsid w:val="00DE0FB2"/>
    <w:rsid w:val="00DF093E"/>
    <w:rsid w:val="00E01F42"/>
    <w:rsid w:val="00E206D6"/>
    <w:rsid w:val="00E3366E"/>
    <w:rsid w:val="00E52086"/>
    <w:rsid w:val="00E543A6"/>
    <w:rsid w:val="00E60479"/>
    <w:rsid w:val="00E61D73"/>
    <w:rsid w:val="00E73684"/>
    <w:rsid w:val="00E75A7F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13EC"/>
    <w:rsid w:val="00F95BC9"/>
    <w:rsid w:val="00FA026E"/>
    <w:rsid w:val="00FA624C"/>
    <w:rsid w:val="00FC0623"/>
    <w:rsid w:val="00FD0FAC"/>
    <w:rsid w:val="00FD1DFA"/>
    <w:rsid w:val="00FD4966"/>
    <w:rsid w:val="00FE57DC"/>
    <w:rsid w:val="00FF7C7A"/>
    <w:rsid w:val="010C56C1"/>
    <w:rsid w:val="016A3C22"/>
    <w:rsid w:val="01ADC71F"/>
    <w:rsid w:val="01C8623E"/>
    <w:rsid w:val="021A4D2E"/>
    <w:rsid w:val="02DBA40A"/>
    <w:rsid w:val="03128DD8"/>
    <w:rsid w:val="0438987D"/>
    <w:rsid w:val="0488F7AA"/>
    <w:rsid w:val="04933306"/>
    <w:rsid w:val="062F0367"/>
    <w:rsid w:val="06990B4D"/>
    <w:rsid w:val="06B88C9E"/>
    <w:rsid w:val="06DD061D"/>
    <w:rsid w:val="0733CC5D"/>
    <w:rsid w:val="0858F086"/>
    <w:rsid w:val="09217B64"/>
    <w:rsid w:val="09CBAC89"/>
    <w:rsid w:val="0B00413E"/>
    <w:rsid w:val="0B401666"/>
    <w:rsid w:val="0D13394C"/>
    <w:rsid w:val="0D31A7A0"/>
    <w:rsid w:val="0ECE7770"/>
    <w:rsid w:val="0F031064"/>
    <w:rsid w:val="0F27E040"/>
    <w:rsid w:val="10F2E454"/>
    <w:rsid w:val="11DEEFBA"/>
    <w:rsid w:val="12BD31F2"/>
    <w:rsid w:val="13B4CEB1"/>
    <w:rsid w:val="13C0DB4F"/>
    <w:rsid w:val="13D96DA7"/>
    <w:rsid w:val="14B688E6"/>
    <w:rsid w:val="14C59CA3"/>
    <w:rsid w:val="14FD84B2"/>
    <w:rsid w:val="15EC8F8D"/>
    <w:rsid w:val="16550BDA"/>
    <w:rsid w:val="184F3926"/>
    <w:rsid w:val="186057EF"/>
    <w:rsid w:val="18BA3162"/>
    <w:rsid w:val="19A5CABA"/>
    <w:rsid w:val="1C02A854"/>
    <w:rsid w:val="1C450F8D"/>
    <w:rsid w:val="1C7A324D"/>
    <w:rsid w:val="1E61DF59"/>
    <w:rsid w:val="1F0712BE"/>
    <w:rsid w:val="2026B5FB"/>
    <w:rsid w:val="20F1E489"/>
    <w:rsid w:val="219EE3AB"/>
    <w:rsid w:val="21ABAA19"/>
    <w:rsid w:val="21C6826B"/>
    <w:rsid w:val="23956CD4"/>
    <w:rsid w:val="2396FFE6"/>
    <w:rsid w:val="24846A47"/>
    <w:rsid w:val="2589F76D"/>
    <w:rsid w:val="25A10697"/>
    <w:rsid w:val="26181C5F"/>
    <w:rsid w:val="26902555"/>
    <w:rsid w:val="274B8219"/>
    <w:rsid w:val="27F09B2A"/>
    <w:rsid w:val="285E8A54"/>
    <w:rsid w:val="2862B3B6"/>
    <w:rsid w:val="2992B9E7"/>
    <w:rsid w:val="29FE62E8"/>
    <w:rsid w:val="2A65CC99"/>
    <w:rsid w:val="2C61F0F2"/>
    <w:rsid w:val="2C722FAA"/>
    <w:rsid w:val="2C74E251"/>
    <w:rsid w:val="2D31FB77"/>
    <w:rsid w:val="2D53FDBF"/>
    <w:rsid w:val="2D859D87"/>
    <w:rsid w:val="2D92F01F"/>
    <w:rsid w:val="2E0D13C5"/>
    <w:rsid w:val="2EB8EF31"/>
    <w:rsid w:val="2FD34219"/>
    <w:rsid w:val="303EA02D"/>
    <w:rsid w:val="30C4D88E"/>
    <w:rsid w:val="30D5E224"/>
    <w:rsid w:val="30D93689"/>
    <w:rsid w:val="3119972D"/>
    <w:rsid w:val="318E0815"/>
    <w:rsid w:val="32056C9A"/>
    <w:rsid w:val="32D64358"/>
    <w:rsid w:val="33BE2853"/>
    <w:rsid w:val="35B596CA"/>
    <w:rsid w:val="364690F0"/>
    <w:rsid w:val="375B2BC6"/>
    <w:rsid w:val="383B164C"/>
    <w:rsid w:val="386D1345"/>
    <w:rsid w:val="388F6ADE"/>
    <w:rsid w:val="389044F2"/>
    <w:rsid w:val="398A2BA2"/>
    <w:rsid w:val="3A4606D2"/>
    <w:rsid w:val="3AB4A4A9"/>
    <w:rsid w:val="3C91A451"/>
    <w:rsid w:val="3C9E21D2"/>
    <w:rsid w:val="3CD832DF"/>
    <w:rsid w:val="3D844C24"/>
    <w:rsid w:val="3E277BFC"/>
    <w:rsid w:val="3E382CC6"/>
    <w:rsid w:val="3F1ED734"/>
    <w:rsid w:val="3FA2B120"/>
    <w:rsid w:val="3FD3FD27"/>
    <w:rsid w:val="3FE72737"/>
    <w:rsid w:val="403100F6"/>
    <w:rsid w:val="4059EEF6"/>
    <w:rsid w:val="4087AD89"/>
    <w:rsid w:val="40F2B9CB"/>
    <w:rsid w:val="40FDD917"/>
    <w:rsid w:val="4148AE57"/>
    <w:rsid w:val="415B2E1A"/>
    <w:rsid w:val="417382F6"/>
    <w:rsid w:val="42593780"/>
    <w:rsid w:val="42D6E3AA"/>
    <w:rsid w:val="4348065B"/>
    <w:rsid w:val="4354C0C8"/>
    <w:rsid w:val="43BF4E4B"/>
    <w:rsid w:val="4466FF4F"/>
    <w:rsid w:val="448B3E7E"/>
    <w:rsid w:val="458C0C32"/>
    <w:rsid w:val="45CB87C3"/>
    <w:rsid w:val="4632A274"/>
    <w:rsid w:val="46FB262A"/>
    <w:rsid w:val="47B441AE"/>
    <w:rsid w:val="4813CEAE"/>
    <w:rsid w:val="4889330C"/>
    <w:rsid w:val="48ED1E8E"/>
    <w:rsid w:val="496C72E6"/>
    <w:rsid w:val="49E966DB"/>
    <w:rsid w:val="4A8073B4"/>
    <w:rsid w:val="4AF8C214"/>
    <w:rsid w:val="4B0E6462"/>
    <w:rsid w:val="4B3E507B"/>
    <w:rsid w:val="4C600959"/>
    <w:rsid w:val="4C8F0932"/>
    <w:rsid w:val="4D1AF383"/>
    <w:rsid w:val="4D513F51"/>
    <w:rsid w:val="4DCEEAE9"/>
    <w:rsid w:val="4DD75256"/>
    <w:rsid w:val="4E18CE10"/>
    <w:rsid w:val="4EED0FB2"/>
    <w:rsid w:val="504A6D6F"/>
    <w:rsid w:val="50B24728"/>
    <w:rsid w:val="50ECF3AC"/>
    <w:rsid w:val="5182FBFA"/>
    <w:rsid w:val="531ECC5B"/>
    <w:rsid w:val="5327FB31"/>
    <w:rsid w:val="537C215E"/>
    <w:rsid w:val="543DE8BA"/>
    <w:rsid w:val="5450370A"/>
    <w:rsid w:val="554B65E8"/>
    <w:rsid w:val="55B79908"/>
    <w:rsid w:val="55C61A5D"/>
    <w:rsid w:val="56B103D3"/>
    <w:rsid w:val="57092160"/>
    <w:rsid w:val="578803C2"/>
    <w:rsid w:val="57EBE48A"/>
    <w:rsid w:val="58901F24"/>
    <w:rsid w:val="5996C4B3"/>
    <w:rsid w:val="5A65109A"/>
    <w:rsid w:val="5AB3BBEA"/>
    <w:rsid w:val="5B107975"/>
    <w:rsid w:val="5B30BC0E"/>
    <w:rsid w:val="5BD51385"/>
    <w:rsid w:val="5C21C480"/>
    <w:rsid w:val="5C902284"/>
    <w:rsid w:val="5D1C1338"/>
    <w:rsid w:val="5DD21AAD"/>
    <w:rsid w:val="5DD2204E"/>
    <w:rsid w:val="5E56EEF1"/>
    <w:rsid w:val="5FC7C346"/>
    <w:rsid w:val="5FCE24DD"/>
    <w:rsid w:val="5FE2EE79"/>
    <w:rsid w:val="60069296"/>
    <w:rsid w:val="60ADAEFE"/>
    <w:rsid w:val="60C1B6F4"/>
    <w:rsid w:val="6178D70A"/>
    <w:rsid w:val="6189F3B5"/>
    <w:rsid w:val="623BE517"/>
    <w:rsid w:val="62E37924"/>
    <w:rsid w:val="63953B67"/>
    <w:rsid w:val="63DB6A42"/>
    <w:rsid w:val="656926B4"/>
    <w:rsid w:val="661DDC6D"/>
    <w:rsid w:val="667BA1AA"/>
    <w:rsid w:val="6817720B"/>
    <w:rsid w:val="68F961B4"/>
    <w:rsid w:val="69834C90"/>
    <w:rsid w:val="6984B058"/>
    <w:rsid w:val="6ABF99B2"/>
    <w:rsid w:val="6B23DAB8"/>
    <w:rsid w:val="6C484941"/>
    <w:rsid w:val="6C51A5C6"/>
    <w:rsid w:val="6C9D617B"/>
    <w:rsid w:val="6CE9D40B"/>
    <w:rsid w:val="6CF83643"/>
    <w:rsid w:val="6D3FE80A"/>
    <w:rsid w:val="6D65C049"/>
    <w:rsid w:val="6F64FFC2"/>
    <w:rsid w:val="72045279"/>
    <w:rsid w:val="724BA1D9"/>
    <w:rsid w:val="733BD156"/>
    <w:rsid w:val="73594B2B"/>
    <w:rsid w:val="735ECCA7"/>
    <w:rsid w:val="73D69564"/>
    <w:rsid w:val="74AAC9BB"/>
    <w:rsid w:val="74C8B588"/>
    <w:rsid w:val="7501A875"/>
    <w:rsid w:val="7638DD5C"/>
    <w:rsid w:val="76FEE390"/>
    <w:rsid w:val="776C5FAF"/>
    <w:rsid w:val="78677810"/>
    <w:rsid w:val="78912BE0"/>
    <w:rsid w:val="78C5101D"/>
    <w:rsid w:val="79A2C1A8"/>
    <w:rsid w:val="79DADF97"/>
    <w:rsid w:val="79FF7F33"/>
    <w:rsid w:val="7A3C0092"/>
    <w:rsid w:val="7AC00BEE"/>
    <w:rsid w:val="7C1ABDE0"/>
    <w:rsid w:val="7C569092"/>
    <w:rsid w:val="7C88BCE1"/>
    <w:rsid w:val="7D6C6FA4"/>
    <w:rsid w:val="7DB451F1"/>
    <w:rsid w:val="7DFA0908"/>
    <w:rsid w:val="7F356F5D"/>
    <w:rsid w:val="7F7246F0"/>
    <w:rsid w:val="7FFBE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86251A0"/>
  <w15:docId w15:val="{519D0D21-E063-4442-B71C-F764DC36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20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8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7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9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7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E6310D796B7419911E34501C949E2" ma:contentTypeVersion="15" ma:contentTypeDescription="Create a new document." ma:contentTypeScope="" ma:versionID="450570097245cfb1d6b95300dd9236e7">
  <xsd:schema xmlns:xsd="http://www.w3.org/2001/XMLSchema" xmlns:xs="http://www.w3.org/2001/XMLSchema" xmlns:p="http://schemas.microsoft.com/office/2006/metadata/properties" xmlns:ns3="771bbdb2-436a-4839-bd49-9356e007cdf0" xmlns:ns4="d306ea9f-171c-46b1-8b63-87385ff8418c" targetNamespace="http://schemas.microsoft.com/office/2006/metadata/properties" ma:root="true" ma:fieldsID="ae335fee13cbc9fd544771d9e11691b5" ns3:_="" ns4:_="">
    <xsd:import namespace="771bbdb2-436a-4839-bd49-9356e007cdf0"/>
    <xsd:import namespace="d306ea9f-171c-46b1-8b63-87385ff841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bbdb2-436a-4839-bd49-9356e007c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6ea9f-171c-46b1-8b63-87385ff84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06ea9f-171c-46b1-8b63-87385ff8418c">
      <UserInfo>
        <DisplayName>FREEMAN Lorraine</DisplayName>
        <AccountId>13</AccountId>
        <AccountType/>
      </UserInfo>
      <UserInfo>
        <DisplayName>NGUYEN Lan</DisplayName>
        <AccountId>6</AccountId>
        <AccountType/>
      </UserInfo>
      <UserInfo>
        <DisplayName>BUTLER David</DisplayName>
        <AccountId>39</AccountId>
        <AccountType/>
      </UserInfo>
      <UserInfo>
        <DisplayName>CAMERON Christian</DisplayName>
        <AccountId>12</AccountId>
        <AccountType/>
      </UserInfo>
      <UserInfo>
        <DisplayName>BRIDGMAN Tom</DisplayName>
        <AccountId>67</AccountId>
        <AccountType/>
      </UserInfo>
      <UserInfo>
        <DisplayName>KENNEDY Nigel</DisplayName>
        <AccountId>134</AccountId>
        <AccountType/>
      </UserInfo>
      <UserInfo>
        <DisplayName>JACKMAN Emma-Louise</DisplayName>
        <AccountId>135</AccountId>
        <AccountType/>
      </UserInfo>
      <UserInfo>
        <DisplayName>BROWN Lucy</DisplayName>
        <AccountId>136</AccountId>
        <AccountType/>
      </UserInfo>
    </SharedWithUsers>
    <_activity xmlns="771bbdb2-436a-4839-bd49-9356e007cd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653E-E7CB-4031-8AFA-3EFC68AED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bbdb2-436a-4839-bd49-9356e007cdf0"/>
    <ds:schemaRef ds:uri="d306ea9f-171c-46b1-8b63-87385ff84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7E460-EE8C-47E7-942A-D76782304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D755B-781C-49F0-925A-074BA5E55CF8}">
  <ds:schemaRefs>
    <ds:schemaRef ds:uri="http://purl.org/dc/terms/"/>
    <ds:schemaRef ds:uri="771bbdb2-436a-4839-bd49-9356e007cdf0"/>
    <ds:schemaRef ds:uri="http://schemas.microsoft.com/office/2006/documentManagement/types"/>
    <ds:schemaRef ds:uri="http://purl.org/dc/elements/1.1/"/>
    <ds:schemaRef ds:uri="http://schemas.microsoft.com/office/2006/metadata/properties"/>
    <ds:schemaRef ds:uri="d306ea9f-171c-46b1-8b63-87385ff8418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C8EE3A-A3E8-4663-B8B8-8A13DAF0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4401</Characters>
  <Application>Microsoft Office Word</Application>
  <DocSecurity>4</DocSecurity>
  <Lines>36</Lines>
  <Paragraphs>10</Paragraphs>
  <ScaleCrop>false</ScaleCrop>
  <Company>Oxford City Council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BROWN Lucy</cp:lastModifiedBy>
  <cp:revision>2</cp:revision>
  <cp:lastPrinted>2015-07-03T12:50:00Z</cp:lastPrinted>
  <dcterms:created xsi:type="dcterms:W3CDTF">2024-03-27T09:39:00Z</dcterms:created>
  <dcterms:modified xsi:type="dcterms:W3CDTF">2024-03-27T09:39:00Z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0x0101005E2E6310D796B7419911E34501C949E2</vt:lpwstr>
  </property>
  <property fmtid="{D5CDD505-2E9C-101B-9397-08002B2CF9AE}" pid="3" name="MediaServiceImageTags">
    <vt:lpwstr/>
  </property>
</Properties>
</file>